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6DE0" w:rsidRDefault="00A4542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proofErr w:type="gramStart"/>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R1-1908896</w:t>
      </w:r>
      <w:proofErr w:type="gramEnd"/>
    </w:p>
    <w:p w:rsidR="00136DE0" w:rsidRDefault="00C83A72">
      <w:pPr>
        <w:tabs>
          <w:tab w:val="center" w:pos="4536"/>
          <w:tab w:val="right" w:pos="9639"/>
        </w:tabs>
        <w:spacing w:before="120" w:after="120" w:line="240" w:lineRule="auto"/>
        <w:ind w:right="2"/>
        <w:rPr>
          <w:rFonts w:ascii="Arial" w:hAnsi="Arial" w:cs="Arial"/>
          <w:b/>
          <w:bCs/>
          <w:sz w:val="22"/>
          <w:szCs w:val="22"/>
        </w:rPr>
      </w:pPr>
      <w:r>
        <w:rPr>
          <w:rFonts w:ascii="Arial" w:hAnsi="Arial" w:cs="Arial" w:hint="eastAsia"/>
          <w:b/>
          <w:bCs/>
          <w:sz w:val="22"/>
          <w:szCs w:val="22"/>
        </w:rPr>
        <w:t>Prague, CZ, August 26</w:t>
      </w:r>
      <w:r w:rsidRPr="00C83A72">
        <w:rPr>
          <w:rFonts w:ascii="Arial" w:hAnsi="Arial" w:cs="Arial" w:hint="eastAsia"/>
          <w:b/>
          <w:bCs/>
          <w:sz w:val="22"/>
          <w:szCs w:val="22"/>
          <w:vertAlign w:val="superscript"/>
        </w:rPr>
        <w:t>th</w:t>
      </w:r>
      <w:r>
        <w:rPr>
          <w:rFonts w:ascii="Arial" w:hAnsi="Arial" w:cs="Arial"/>
          <w:b/>
          <w:bCs/>
          <w:sz w:val="22"/>
          <w:szCs w:val="22"/>
        </w:rPr>
        <w:t xml:space="preserve"> - </w:t>
      </w:r>
      <w:r w:rsidR="00A45420">
        <w:rPr>
          <w:rFonts w:ascii="Arial" w:hAnsi="Arial" w:cs="Arial" w:hint="eastAsia"/>
          <w:b/>
          <w:bCs/>
          <w:sz w:val="22"/>
          <w:szCs w:val="22"/>
        </w:rPr>
        <w:t>30th, 2019</w:t>
      </w:r>
    </w:p>
    <w:p w:rsidR="00136DE0" w:rsidRDefault="00A45420" w:rsidP="00C83A72">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PHY procedures for sidelink</w:t>
      </w:r>
    </w:p>
    <w:p w:rsidR="00136DE0" w:rsidRDefault="00A4542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136DE0" w:rsidRDefault="00A4542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136DE0" w:rsidRDefault="00A4542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136DE0" w:rsidRDefault="00A45420">
      <w:pPr>
        <w:pStyle w:val="Heading1"/>
        <w:spacing w:before="120" w:after="120"/>
        <w:ind w:left="0"/>
        <w:rPr>
          <w:rFonts w:eastAsia="SimSun"/>
        </w:rPr>
      </w:pPr>
      <w:r>
        <w:rPr>
          <w:rFonts w:eastAsia="SimSun" w:hint="eastAsia"/>
        </w:rPr>
        <w:t>Introduction</w:t>
      </w:r>
    </w:p>
    <w:p w:rsidR="00136DE0" w:rsidRDefault="00A45420">
      <w:pPr>
        <w:spacing w:before="120" w:after="120" w:line="240" w:lineRule="auto"/>
        <w:rPr>
          <w:sz w:val="20"/>
        </w:rPr>
      </w:pPr>
      <w:r>
        <w:rPr>
          <w:rFonts w:hint="eastAsia"/>
          <w:sz w:val="20"/>
        </w:rPr>
        <w:t xml:space="preserve"> T</w:t>
      </w:r>
      <w:r>
        <w:rPr>
          <w:sz w:val="20"/>
        </w:rPr>
        <w:t xml:space="preserve">he following agreements </w:t>
      </w:r>
      <w:r>
        <w:rPr>
          <w:rFonts w:hint="eastAsia"/>
          <w:sz w:val="20"/>
        </w:rPr>
        <w:t xml:space="preserve">were made </w:t>
      </w:r>
      <w:r>
        <w:rPr>
          <w:sz w:val="20"/>
        </w:rPr>
        <w:t xml:space="preserve">on </w:t>
      </w:r>
      <w:r>
        <w:rPr>
          <w:rFonts w:hint="eastAsia"/>
          <w:sz w:val="20"/>
        </w:rPr>
        <w:t xml:space="preserve">PHY layer procedures at </w:t>
      </w:r>
      <w:r>
        <w:rPr>
          <w:sz w:val="20"/>
        </w:rPr>
        <w:t xml:space="preserve">RAN1 </w:t>
      </w:r>
      <w:r>
        <w:rPr>
          <w:rFonts w:hint="eastAsia"/>
          <w:sz w:val="20"/>
        </w:rPr>
        <w:t>#97[1]</w:t>
      </w:r>
      <w:r>
        <w:rPr>
          <w:sz w:val="20"/>
        </w:rPr>
        <w:t xml:space="preserve">: </w:t>
      </w:r>
    </w:p>
    <w:tbl>
      <w:tblPr>
        <w:tblStyle w:val="TableGrid"/>
        <w:tblW w:w="9571" w:type="dxa"/>
        <w:tblLayout w:type="fixed"/>
        <w:tblLook w:val="04A0"/>
      </w:tblPr>
      <w:tblGrid>
        <w:gridCol w:w="9571"/>
      </w:tblGrid>
      <w:tr w:rsidR="00136DE0">
        <w:tc>
          <w:tcPr>
            <w:tcW w:w="9571" w:type="dxa"/>
          </w:tcPr>
          <w:p w:rsidR="00136DE0" w:rsidRDefault="00A45420">
            <w:pPr>
              <w:spacing w:before="120" w:after="120"/>
              <w:ind w:left="1440" w:hanging="1440"/>
            </w:pPr>
            <w:r>
              <w:rPr>
                <w:highlight w:val="green"/>
              </w:rPr>
              <w:t>Agreements</w:t>
            </w:r>
            <w:r>
              <w:t>:</w:t>
            </w:r>
          </w:p>
          <w:p w:rsidR="00136DE0" w:rsidRDefault="00A45420">
            <w:pPr>
              <w:pStyle w:val="LGTdoc"/>
              <w:numPr>
                <w:ilvl w:val="0"/>
                <w:numId w:val="6"/>
              </w:numPr>
              <w:spacing w:before="120" w:beforeAutospacing="1" w:afterLines="0"/>
              <w:rPr>
                <w:rFonts w:ascii="Calibri" w:hAnsi="Calibri" w:cs="Calibri"/>
                <w:sz w:val="20"/>
              </w:rPr>
            </w:pPr>
            <w:r>
              <w:rPr>
                <w:rFonts w:ascii="Calibri" w:hAnsi="Calibri" w:cs="Calibri" w:hint="eastAsia"/>
                <w:sz w:val="20"/>
              </w:rPr>
              <w:t>For sidelink transmit power control,</w:t>
            </w:r>
          </w:p>
          <w:p w:rsidR="00136DE0" w:rsidRDefault="00A45420">
            <w:pPr>
              <w:pStyle w:val="LGTdoc"/>
              <w:numPr>
                <w:ilvl w:val="1"/>
                <w:numId w:val="6"/>
              </w:numPr>
              <w:spacing w:before="120" w:beforeAutospacing="1" w:afterLines="0"/>
              <w:rPr>
                <w:rFonts w:ascii="Calibri" w:hAnsi="Calibri" w:cs="Calibri"/>
                <w:sz w:val="20"/>
              </w:rPr>
            </w:pPr>
            <w:r>
              <w:rPr>
                <w:rFonts w:ascii="Calibri" w:hAnsi="Calibri" w:cs="Calibri"/>
                <w:sz w:val="20"/>
              </w:rPr>
              <w:t xml:space="preserve">Total sidelink transmit power is the same in the symbols used for PSCCH/PSSCH transmissions </w:t>
            </w:r>
            <w:r>
              <w:rPr>
                <w:rFonts w:ascii="Calibri" w:hAnsi="Calibri" w:cs="Calibri" w:hint="eastAsia"/>
                <w:sz w:val="20"/>
              </w:rPr>
              <w:t xml:space="preserve">in </w:t>
            </w:r>
            <w:r>
              <w:rPr>
                <w:rFonts w:ascii="Calibri" w:hAnsi="Calibri" w:cs="Calibri"/>
                <w:sz w:val="20"/>
              </w:rPr>
              <w:t>a slot.</w:t>
            </w:r>
          </w:p>
          <w:p w:rsidR="00136DE0" w:rsidRDefault="00A45420">
            <w:pPr>
              <w:pStyle w:val="LGTdoc"/>
              <w:numPr>
                <w:ilvl w:val="2"/>
                <w:numId w:val="6"/>
              </w:numPr>
              <w:spacing w:before="120" w:beforeAutospacing="1" w:afterLines="0"/>
              <w:rPr>
                <w:rFonts w:ascii="Calibri" w:hAnsi="Calibri" w:cs="Calibri"/>
                <w:sz w:val="20"/>
              </w:rPr>
            </w:pPr>
            <w:r>
              <w:rPr>
                <w:rFonts w:ascii="Calibri" w:hAnsi="Calibri" w:cs="Calibri"/>
                <w:sz w:val="20"/>
              </w:rPr>
              <w:t>FFS whether/how to handle simultaneous transmission of sidelink and uplink</w:t>
            </w:r>
          </w:p>
          <w:p w:rsidR="00136DE0" w:rsidRDefault="00A45420">
            <w:pPr>
              <w:pStyle w:val="LGTdoc"/>
              <w:numPr>
                <w:ilvl w:val="1"/>
                <w:numId w:val="6"/>
              </w:numPr>
              <w:spacing w:before="120" w:beforeAutospacing="1" w:afterLines="0"/>
              <w:rPr>
                <w:rFonts w:ascii="Calibri" w:hAnsi="Calibri" w:cs="Calibri"/>
                <w:sz w:val="20"/>
              </w:rPr>
            </w:pPr>
            <w:r>
              <w:rPr>
                <w:rFonts w:ascii="Calibri" w:hAnsi="Calibri" w:cs="Calibri" w:hint="eastAsia"/>
                <w:sz w:val="20"/>
              </w:rPr>
              <w:t>The maximum SL transmit power is (pre-</w:t>
            </w:r>
            <w:proofErr w:type="gramStart"/>
            <w:r>
              <w:rPr>
                <w:rFonts w:ascii="Calibri" w:hAnsi="Calibri" w:cs="Calibri" w:hint="eastAsia"/>
                <w:sz w:val="20"/>
              </w:rPr>
              <w:t>)</w:t>
            </w:r>
            <w:r>
              <w:rPr>
                <w:rFonts w:ascii="Calibri" w:hAnsi="Calibri" w:cs="Calibri"/>
                <w:sz w:val="20"/>
              </w:rPr>
              <w:t>configured</w:t>
            </w:r>
            <w:proofErr w:type="gramEnd"/>
            <w:r>
              <w:rPr>
                <w:rFonts w:ascii="Calibri" w:hAnsi="Calibri" w:cs="Calibri" w:hint="eastAsia"/>
                <w:sz w:val="20"/>
              </w:rPr>
              <w:t xml:space="preserve"> </w:t>
            </w:r>
            <w:r>
              <w:rPr>
                <w:rFonts w:ascii="Calibri" w:hAnsi="Calibri" w:cs="Calibri"/>
                <w:sz w:val="20"/>
              </w:rPr>
              <w:t>to the TX UE.</w:t>
            </w:r>
          </w:p>
          <w:p w:rsidR="00136DE0" w:rsidRDefault="00A45420">
            <w:pPr>
              <w:pStyle w:val="LGTdoc"/>
              <w:numPr>
                <w:ilvl w:val="2"/>
                <w:numId w:val="6"/>
              </w:numPr>
              <w:spacing w:before="120" w:beforeAutospacing="1" w:afterLines="0"/>
              <w:rPr>
                <w:rFonts w:ascii="Calibri" w:hAnsi="Calibri" w:cs="Calibri"/>
                <w:sz w:val="20"/>
              </w:rPr>
            </w:pPr>
            <w:r>
              <w:rPr>
                <w:rFonts w:ascii="Calibri" w:hAnsi="Calibri" w:cs="Calibri"/>
                <w:sz w:val="20"/>
              </w:rPr>
              <w:t>FFS on details (e.g., whether the maximum power is dependent of parameters such as the priority of PSCCH/PSSCH)</w:t>
            </w:r>
          </w:p>
          <w:p w:rsidR="00136DE0" w:rsidRDefault="00A45420">
            <w:pPr>
              <w:spacing w:before="120" w:after="120"/>
              <w:ind w:left="1440" w:hanging="1440"/>
            </w:pPr>
            <w:r>
              <w:rPr>
                <w:highlight w:val="green"/>
              </w:rPr>
              <w:t>Agreements</w:t>
            </w:r>
            <w:r>
              <w:t>:</w:t>
            </w:r>
          </w:p>
          <w:p w:rsidR="00136DE0" w:rsidRDefault="00A45420">
            <w:pPr>
              <w:pStyle w:val="LGTdoc"/>
              <w:numPr>
                <w:ilvl w:val="0"/>
                <w:numId w:val="7"/>
              </w:numPr>
              <w:spacing w:before="120" w:beforeAutospacing="1" w:afterLines="0"/>
              <w:rPr>
                <w:rFonts w:ascii="Calibri" w:hAnsi="Calibri" w:cs="Calibri"/>
                <w:sz w:val="20"/>
              </w:rPr>
            </w:pPr>
            <w:r>
              <w:rPr>
                <w:rFonts w:ascii="Calibri" w:hAnsi="Calibri" w:cs="Calibri" w:hint="eastAsia"/>
                <w:sz w:val="20"/>
              </w:rPr>
              <w:t xml:space="preserve">For the </w:t>
            </w:r>
            <w:r>
              <w:rPr>
                <w:rFonts w:ascii="Calibri" w:hAnsi="Calibri" w:cs="Calibri"/>
                <w:sz w:val="20"/>
              </w:rPr>
              <w:t xml:space="preserve">SL open-loop power control, a UE can be configured to use DL </w:t>
            </w:r>
            <w:proofErr w:type="spellStart"/>
            <w:r>
              <w:rPr>
                <w:rFonts w:ascii="Calibri" w:hAnsi="Calibri" w:cs="Calibri"/>
                <w:sz w:val="20"/>
              </w:rPr>
              <w:t>pathloss</w:t>
            </w:r>
            <w:proofErr w:type="spellEnd"/>
            <w:r>
              <w:rPr>
                <w:rFonts w:ascii="Calibri" w:hAnsi="Calibri" w:cs="Calibri"/>
                <w:sz w:val="20"/>
              </w:rPr>
              <w:t xml:space="preserve"> (</w:t>
            </w:r>
            <w:r>
              <w:rPr>
                <w:rFonts w:ascii="Calibri" w:hAnsi="Calibri" w:cs="Calibri" w:hint="eastAsia"/>
                <w:sz w:val="20"/>
              </w:rPr>
              <w:t xml:space="preserve">between </w:t>
            </w:r>
            <w:r>
              <w:rPr>
                <w:rFonts w:ascii="Calibri" w:hAnsi="Calibri" w:cs="Calibri"/>
                <w:sz w:val="20"/>
              </w:rPr>
              <w:t xml:space="preserve">TX UE and gNB) only, SL </w:t>
            </w:r>
            <w:proofErr w:type="spellStart"/>
            <w:r>
              <w:rPr>
                <w:rFonts w:ascii="Calibri" w:hAnsi="Calibri" w:cs="Calibri"/>
                <w:sz w:val="20"/>
              </w:rPr>
              <w:t>pathloss</w:t>
            </w:r>
            <w:proofErr w:type="spellEnd"/>
            <w:r>
              <w:rPr>
                <w:rFonts w:ascii="Calibri" w:hAnsi="Calibri" w:cs="Calibri"/>
                <w:sz w:val="20"/>
              </w:rPr>
              <w:t xml:space="preserve"> (between TX UE and RX UE) only, or both DL </w:t>
            </w:r>
            <w:proofErr w:type="spellStart"/>
            <w:r>
              <w:rPr>
                <w:rFonts w:ascii="Calibri" w:hAnsi="Calibri" w:cs="Calibri"/>
                <w:sz w:val="20"/>
              </w:rPr>
              <w:t>pathloss</w:t>
            </w:r>
            <w:proofErr w:type="spellEnd"/>
            <w:r>
              <w:rPr>
                <w:rFonts w:ascii="Calibri" w:hAnsi="Calibri" w:cs="Calibri"/>
                <w:sz w:val="20"/>
              </w:rPr>
              <w:t xml:space="preserve"> and SL </w:t>
            </w:r>
            <w:proofErr w:type="spellStart"/>
            <w:r>
              <w:rPr>
                <w:rFonts w:ascii="Calibri" w:hAnsi="Calibri" w:cs="Calibri"/>
                <w:sz w:val="20"/>
              </w:rPr>
              <w:t>pathloss</w:t>
            </w:r>
            <w:proofErr w:type="spellEnd"/>
            <w:r>
              <w:rPr>
                <w:rFonts w:ascii="Calibri" w:hAnsi="Calibri" w:cs="Calibri"/>
                <w:sz w:val="20"/>
              </w:rPr>
              <w:t>.</w:t>
            </w:r>
          </w:p>
          <w:p w:rsidR="00136DE0" w:rsidRDefault="00A45420">
            <w:pPr>
              <w:pStyle w:val="LGTdoc"/>
              <w:numPr>
                <w:ilvl w:val="0"/>
                <w:numId w:val="7"/>
              </w:numPr>
              <w:spacing w:before="120" w:beforeAutospacing="1" w:afterLines="0"/>
              <w:rPr>
                <w:rFonts w:ascii="Calibri" w:hAnsi="Calibri" w:cs="Calibri"/>
                <w:sz w:val="20"/>
              </w:rPr>
            </w:pPr>
            <w:r>
              <w:rPr>
                <w:rFonts w:ascii="Calibri" w:hAnsi="Calibri" w:cs="Calibri"/>
                <w:sz w:val="20"/>
              </w:rPr>
              <w:t>When the SL open-loop power control</w:t>
            </w:r>
            <w:r>
              <w:rPr>
                <w:rFonts w:ascii="Calibri" w:hAnsi="Calibri" w:cs="Calibri" w:hint="eastAsia"/>
                <w:sz w:val="20"/>
              </w:rPr>
              <w:t xml:space="preserve"> </w:t>
            </w:r>
            <w:r>
              <w:rPr>
                <w:rFonts w:ascii="Calibri" w:hAnsi="Calibri" w:cs="Calibri"/>
                <w:sz w:val="20"/>
              </w:rPr>
              <w:t xml:space="preserve">is configured to use both DL </w:t>
            </w:r>
            <w:proofErr w:type="spellStart"/>
            <w:r>
              <w:rPr>
                <w:rFonts w:ascii="Calibri" w:hAnsi="Calibri" w:cs="Calibri"/>
                <w:sz w:val="20"/>
              </w:rPr>
              <w:t>pathloss</w:t>
            </w:r>
            <w:proofErr w:type="spellEnd"/>
            <w:r>
              <w:rPr>
                <w:rFonts w:ascii="Calibri" w:hAnsi="Calibri" w:cs="Calibri"/>
                <w:sz w:val="20"/>
              </w:rPr>
              <w:t xml:space="preserve"> and SL </w:t>
            </w:r>
            <w:proofErr w:type="spellStart"/>
            <w:r>
              <w:rPr>
                <w:rFonts w:ascii="Calibri" w:hAnsi="Calibri" w:cs="Calibri"/>
                <w:sz w:val="20"/>
              </w:rPr>
              <w:t>pathloss</w:t>
            </w:r>
            <w:proofErr w:type="spellEnd"/>
            <w:r>
              <w:rPr>
                <w:rFonts w:ascii="Calibri" w:hAnsi="Calibri" w:cs="Calibri"/>
                <w:sz w:val="20"/>
              </w:rPr>
              <w:t>,</w:t>
            </w:r>
          </w:p>
          <w:p w:rsidR="00136DE0" w:rsidRDefault="00A45420">
            <w:pPr>
              <w:pStyle w:val="LGTdoc"/>
              <w:numPr>
                <w:ilvl w:val="1"/>
                <w:numId w:val="7"/>
              </w:numPr>
              <w:spacing w:before="120" w:beforeAutospacing="1" w:afterLines="0"/>
              <w:rPr>
                <w:rFonts w:ascii="Calibri" w:hAnsi="Calibri" w:cs="Calibri"/>
                <w:sz w:val="20"/>
              </w:rPr>
            </w:pPr>
            <w:r>
              <w:rPr>
                <w:rFonts w:ascii="Calibri" w:hAnsi="Calibri" w:cs="Calibri"/>
                <w:sz w:val="20"/>
              </w:rPr>
              <w:t xml:space="preserve">The minimum of the power values given by </w:t>
            </w:r>
            <w:r>
              <w:rPr>
                <w:rFonts w:ascii="Calibri" w:hAnsi="Calibri" w:cs="Calibri" w:hint="eastAsia"/>
                <w:sz w:val="20"/>
              </w:rPr>
              <w:t xml:space="preserve">open-loop power control based on </w:t>
            </w:r>
            <w:r>
              <w:rPr>
                <w:rFonts w:ascii="Calibri" w:hAnsi="Calibri" w:cs="Calibri"/>
                <w:sz w:val="20"/>
              </w:rPr>
              <w:t xml:space="preserve">DL </w:t>
            </w:r>
            <w:proofErr w:type="spellStart"/>
            <w:r>
              <w:rPr>
                <w:rFonts w:ascii="Calibri" w:hAnsi="Calibri" w:cs="Calibri" w:hint="eastAsia"/>
                <w:sz w:val="20"/>
              </w:rPr>
              <w:t>pathloss</w:t>
            </w:r>
            <w:proofErr w:type="spellEnd"/>
            <w:r>
              <w:rPr>
                <w:rFonts w:ascii="Calibri" w:hAnsi="Calibri" w:cs="Calibri" w:hint="eastAsia"/>
                <w:sz w:val="20"/>
              </w:rPr>
              <w:t xml:space="preserve"> </w:t>
            </w:r>
            <w:r>
              <w:rPr>
                <w:rFonts w:ascii="Calibri" w:hAnsi="Calibri" w:cs="Calibri"/>
                <w:sz w:val="20"/>
              </w:rPr>
              <w:t xml:space="preserve">and the open-loop power control based on SL </w:t>
            </w:r>
            <w:proofErr w:type="spellStart"/>
            <w:r>
              <w:rPr>
                <w:rFonts w:ascii="Calibri" w:hAnsi="Calibri" w:cs="Calibri"/>
                <w:sz w:val="20"/>
              </w:rPr>
              <w:t>pathloss</w:t>
            </w:r>
            <w:proofErr w:type="spellEnd"/>
            <w:r>
              <w:rPr>
                <w:rFonts w:ascii="Calibri" w:hAnsi="Calibri" w:cs="Calibri"/>
                <w:sz w:val="20"/>
              </w:rPr>
              <w:t xml:space="preserve"> is taken.</w:t>
            </w:r>
          </w:p>
          <w:p w:rsidR="00136DE0" w:rsidRDefault="00A45420">
            <w:pPr>
              <w:pStyle w:val="LGTdoc"/>
              <w:numPr>
                <w:ilvl w:val="2"/>
                <w:numId w:val="7"/>
              </w:numPr>
              <w:spacing w:before="120" w:beforeAutospacing="1" w:afterLines="0"/>
              <w:rPr>
                <w:rFonts w:ascii="Calibri" w:hAnsi="Calibri" w:cs="Calibri"/>
                <w:sz w:val="20"/>
              </w:rPr>
            </w:pPr>
            <w:r>
              <w:rPr>
                <w:rFonts w:ascii="Calibri" w:hAnsi="Calibri" w:cs="Calibri"/>
                <w:sz w:val="20"/>
              </w:rPr>
              <w:t>(</w:t>
            </w:r>
            <w:r>
              <w:rPr>
                <w:rFonts w:ascii="Calibri" w:hAnsi="Calibri" w:cs="Calibri"/>
                <w:sz w:val="20"/>
                <w:highlight w:val="darkYellow"/>
              </w:rPr>
              <w:t>Working assumption</w:t>
            </w:r>
            <w:r>
              <w:rPr>
                <w:rFonts w:ascii="Calibri" w:hAnsi="Calibri" w:cs="Calibri"/>
                <w:sz w:val="20"/>
              </w:rPr>
              <w:t>) P0 and alpha values are separately (pre-</w:t>
            </w:r>
            <w:proofErr w:type="gramStart"/>
            <w:r>
              <w:rPr>
                <w:rFonts w:ascii="Calibri" w:hAnsi="Calibri" w:cs="Calibri"/>
                <w:sz w:val="20"/>
              </w:rPr>
              <w:t>)configured</w:t>
            </w:r>
            <w:proofErr w:type="gramEnd"/>
            <w:r>
              <w:rPr>
                <w:rFonts w:ascii="Calibri" w:hAnsi="Calibri" w:cs="Calibri"/>
                <w:sz w:val="20"/>
              </w:rPr>
              <w:t xml:space="preserve"> for DL </w:t>
            </w:r>
            <w:proofErr w:type="spellStart"/>
            <w:r>
              <w:rPr>
                <w:rFonts w:ascii="Calibri" w:hAnsi="Calibri" w:cs="Calibri"/>
                <w:sz w:val="20"/>
              </w:rPr>
              <w:t>pathloss</w:t>
            </w:r>
            <w:proofErr w:type="spellEnd"/>
            <w:r>
              <w:rPr>
                <w:rFonts w:ascii="Calibri" w:hAnsi="Calibri" w:cs="Calibri"/>
                <w:sz w:val="20"/>
              </w:rPr>
              <w:t xml:space="preserve"> and SL </w:t>
            </w:r>
            <w:proofErr w:type="spellStart"/>
            <w:r>
              <w:rPr>
                <w:rFonts w:ascii="Calibri" w:hAnsi="Calibri" w:cs="Calibri"/>
                <w:sz w:val="20"/>
              </w:rPr>
              <w:t>pathloss</w:t>
            </w:r>
            <w:proofErr w:type="spellEnd"/>
            <w:r>
              <w:rPr>
                <w:rFonts w:ascii="Calibri" w:hAnsi="Calibri" w:cs="Calibri"/>
                <w:sz w:val="20"/>
              </w:rPr>
              <w:t>.</w:t>
            </w:r>
          </w:p>
          <w:p w:rsidR="00136DE0" w:rsidRDefault="00136DE0">
            <w:pPr>
              <w:spacing w:before="120" w:after="120"/>
              <w:ind w:left="1440" w:hanging="1440"/>
            </w:pPr>
          </w:p>
          <w:p w:rsidR="00136DE0" w:rsidRDefault="00A45420">
            <w:pPr>
              <w:spacing w:before="120" w:after="120"/>
              <w:ind w:left="1440" w:hanging="1440"/>
            </w:pPr>
            <w:r>
              <w:rPr>
                <w:highlight w:val="green"/>
              </w:rPr>
              <w:t>Agreements</w:t>
            </w:r>
            <w:r>
              <w:t>:</w:t>
            </w:r>
          </w:p>
          <w:p w:rsidR="00136DE0" w:rsidRDefault="00A45420">
            <w:pPr>
              <w:pStyle w:val="LGTdoc"/>
              <w:numPr>
                <w:ilvl w:val="0"/>
                <w:numId w:val="8"/>
              </w:numPr>
              <w:spacing w:before="120" w:beforeAutospacing="1" w:afterLines="0"/>
              <w:rPr>
                <w:rFonts w:ascii="Calibri" w:hAnsi="Calibri" w:cs="Calibri"/>
                <w:sz w:val="20"/>
              </w:rPr>
            </w:pPr>
            <w:r>
              <w:rPr>
                <w:rFonts w:ascii="Calibri" w:hAnsi="Calibri" w:cs="Calibri"/>
                <w:sz w:val="20"/>
              </w:rPr>
              <w:t xml:space="preserve">For at least option 1 based TX-RX distance-based </w:t>
            </w:r>
            <w:r>
              <w:rPr>
                <w:rFonts w:ascii="Calibri" w:hAnsi="Calibri" w:cs="Calibri" w:hint="eastAsia"/>
                <w:sz w:val="20"/>
                <w:lang w:eastAsia="zh-CN"/>
              </w:rPr>
              <w:t>HARQ feedback</w:t>
            </w:r>
            <w:r>
              <w:rPr>
                <w:rFonts w:ascii="Calibri" w:hAnsi="Calibri" w:cs="Calibri"/>
                <w:sz w:val="20"/>
                <w:lang w:eastAsia="zh-CN"/>
              </w:rPr>
              <w:t xml:space="preserve"> for groupcast,</w:t>
            </w:r>
          </w:p>
          <w:p w:rsidR="00136DE0" w:rsidRDefault="00A45420">
            <w:pPr>
              <w:pStyle w:val="LGTdoc"/>
              <w:numPr>
                <w:ilvl w:val="1"/>
                <w:numId w:val="8"/>
              </w:numPr>
              <w:spacing w:before="120" w:beforeAutospacing="1" w:afterLines="0"/>
              <w:rPr>
                <w:rFonts w:ascii="Calibri" w:hAnsi="Calibri" w:cs="Calibri"/>
                <w:sz w:val="20"/>
              </w:rPr>
            </w:pPr>
            <w:r>
              <w:rPr>
                <w:rFonts w:ascii="Calibri" w:hAnsi="Calibri" w:cs="Calibri"/>
                <w:sz w:val="20"/>
              </w:rPr>
              <w:t xml:space="preserve">A </w:t>
            </w:r>
            <w:r>
              <w:rPr>
                <w:rFonts w:ascii="Calibri" w:hAnsi="Calibri" w:cs="Calibri" w:hint="eastAsia"/>
                <w:sz w:val="20"/>
              </w:rPr>
              <w:t>UE transmit</w:t>
            </w:r>
            <w:r>
              <w:rPr>
                <w:rFonts w:ascii="Calibri" w:hAnsi="Calibri" w:cs="Calibri"/>
                <w:sz w:val="20"/>
              </w:rPr>
              <w:t>s</w:t>
            </w:r>
            <w:r>
              <w:rPr>
                <w:rFonts w:ascii="Calibri" w:hAnsi="Calibri" w:cs="Calibri" w:hint="eastAsia"/>
                <w:sz w:val="20"/>
              </w:rPr>
              <w:t xml:space="preserve"> HARQ feedback </w:t>
            </w:r>
            <w:r>
              <w:rPr>
                <w:rFonts w:ascii="Calibri" w:hAnsi="Calibri" w:cs="Calibri"/>
                <w:sz w:val="20"/>
              </w:rPr>
              <w:t xml:space="preserve">for the PSSCH </w:t>
            </w:r>
            <w:r>
              <w:rPr>
                <w:rFonts w:ascii="Calibri" w:hAnsi="Calibri" w:cs="Calibri" w:hint="eastAsia"/>
                <w:sz w:val="20"/>
              </w:rPr>
              <w:t xml:space="preserve">if TX-RX distance </w:t>
            </w:r>
            <w:r>
              <w:rPr>
                <w:rFonts w:ascii="Calibri" w:hAnsi="Calibri" w:cs="Calibri"/>
                <w:sz w:val="20"/>
              </w:rPr>
              <w:t>is smaller or equal to the communication range requirement. Otherwise, the UE does not transmit HARQ feedback for the PSSCH</w:t>
            </w:r>
          </w:p>
          <w:p w:rsidR="00136DE0" w:rsidRDefault="00A45420">
            <w:pPr>
              <w:pStyle w:val="LGTdoc"/>
              <w:numPr>
                <w:ilvl w:val="2"/>
                <w:numId w:val="8"/>
              </w:numPr>
              <w:spacing w:before="120" w:beforeAutospacing="1" w:afterLines="0"/>
              <w:rPr>
                <w:rFonts w:ascii="Calibri" w:hAnsi="Calibri" w:cs="Calibri"/>
                <w:sz w:val="20"/>
              </w:rPr>
            </w:pPr>
            <w:r>
              <w:rPr>
                <w:rFonts w:ascii="Calibri" w:hAnsi="Calibri" w:cs="Calibri" w:hint="eastAsia"/>
                <w:sz w:val="20"/>
              </w:rPr>
              <w:lastRenderedPageBreak/>
              <w:t>TX UE</w:t>
            </w:r>
            <w:r>
              <w:rPr>
                <w:rFonts w:ascii="Calibri" w:hAnsi="Calibri" w:cs="Calibri"/>
                <w:sz w:val="20"/>
              </w:rPr>
              <w:t>’s</w:t>
            </w:r>
            <w:r>
              <w:rPr>
                <w:rFonts w:ascii="Calibri" w:hAnsi="Calibri" w:cs="Calibri" w:hint="eastAsia"/>
                <w:sz w:val="20"/>
              </w:rPr>
              <w:t xml:space="preserve"> location</w:t>
            </w:r>
            <w:r>
              <w:rPr>
                <w:rFonts w:ascii="Calibri" w:hAnsi="Calibri" w:cs="Calibri"/>
                <w:sz w:val="20"/>
              </w:rPr>
              <w:t xml:space="preserve"> is indicated by SCI associated with the PSSCH.</w:t>
            </w:r>
          </w:p>
          <w:p w:rsidR="00136DE0" w:rsidRDefault="00A45420">
            <w:pPr>
              <w:pStyle w:val="LGTdoc"/>
              <w:numPr>
                <w:ilvl w:val="3"/>
                <w:numId w:val="8"/>
              </w:numPr>
              <w:spacing w:before="120" w:beforeAutospacing="1" w:afterLines="0"/>
              <w:rPr>
                <w:rFonts w:ascii="Calibri" w:hAnsi="Calibri" w:cs="Calibri"/>
                <w:sz w:val="20"/>
              </w:rPr>
            </w:pPr>
            <w:r>
              <w:rPr>
                <w:rFonts w:ascii="Calibri" w:hAnsi="Calibri" w:cs="Calibri"/>
                <w:sz w:val="20"/>
              </w:rPr>
              <w:t xml:space="preserve">Details FFS </w:t>
            </w:r>
          </w:p>
          <w:p w:rsidR="00136DE0" w:rsidRDefault="00A45420">
            <w:pPr>
              <w:pStyle w:val="LGTdoc"/>
              <w:numPr>
                <w:ilvl w:val="2"/>
                <w:numId w:val="8"/>
              </w:numPr>
              <w:spacing w:before="120" w:beforeAutospacing="1" w:afterLines="0"/>
              <w:rPr>
                <w:rFonts w:ascii="Calibri" w:hAnsi="Calibri" w:cs="Calibri"/>
                <w:sz w:val="20"/>
              </w:rPr>
            </w:pPr>
            <w:r>
              <w:rPr>
                <w:rFonts w:ascii="Calibri" w:hAnsi="Calibri" w:cs="Calibri"/>
                <w:sz w:val="20"/>
              </w:rPr>
              <w:t xml:space="preserve">The TX-RX distance is estimated by RX UE based on its own location and </w:t>
            </w:r>
            <w:r>
              <w:rPr>
                <w:rFonts w:ascii="Calibri" w:hAnsi="Calibri" w:cs="Calibri" w:hint="eastAsia"/>
                <w:sz w:val="20"/>
              </w:rPr>
              <w:t>TX UE locatio</w:t>
            </w:r>
            <w:r>
              <w:rPr>
                <w:rFonts w:ascii="Calibri" w:hAnsi="Calibri" w:cs="Calibri"/>
                <w:sz w:val="20"/>
              </w:rPr>
              <w:t>n</w:t>
            </w:r>
            <w:r>
              <w:rPr>
                <w:rFonts w:ascii="Calibri" w:hAnsi="Calibri" w:cs="Calibri" w:hint="eastAsia"/>
                <w:sz w:val="20"/>
              </w:rPr>
              <w:t>.</w:t>
            </w:r>
          </w:p>
          <w:p w:rsidR="00136DE0" w:rsidRDefault="00A45420">
            <w:pPr>
              <w:pStyle w:val="LGTdoc"/>
              <w:numPr>
                <w:ilvl w:val="2"/>
                <w:numId w:val="8"/>
              </w:numPr>
              <w:spacing w:before="120" w:beforeAutospacing="1" w:afterLines="0"/>
              <w:rPr>
                <w:rFonts w:ascii="Calibri" w:hAnsi="Calibri" w:cs="Calibri"/>
                <w:sz w:val="20"/>
              </w:rPr>
            </w:pPr>
            <w:r>
              <w:rPr>
                <w:rFonts w:ascii="Calibri" w:hAnsi="Calibri" w:cs="Calibri"/>
                <w:sz w:val="20"/>
              </w:rPr>
              <w:t>The used communication range requirement for a PSSCH is known after decoding SCI associated with the PSSCH</w:t>
            </w:r>
          </w:p>
          <w:p w:rsidR="00136DE0" w:rsidRDefault="00A45420">
            <w:pPr>
              <w:pStyle w:val="LGTdoc"/>
              <w:numPr>
                <w:ilvl w:val="3"/>
                <w:numId w:val="8"/>
              </w:numPr>
              <w:spacing w:before="120" w:beforeAutospacing="1" w:afterLines="0"/>
              <w:rPr>
                <w:rFonts w:ascii="Calibri" w:hAnsi="Calibri" w:cs="Calibri"/>
                <w:sz w:val="20"/>
              </w:rPr>
            </w:pPr>
            <w:r>
              <w:rPr>
                <w:rFonts w:ascii="Calibri" w:hAnsi="Calibri" w:cs="Calibri"/>
                <w:sz w:val="20"/>
              </w:rPr>
              <w:t>FFS implicit or explicit</w:t>
            </w:r>
          </w:p>
          <w:p w:rsidR="00136DE0" w:rsidRDefault="00A45420">
            <w:pPr>
              <w:pStyle w:val="LGTdoc"/>
              <w:numPr>
                <w:ilvl w:val="2"/>
                <w:numId w:val="8"/>
              </w:numPr>
              <w:spacing w:before="120" w:beforeAutospacing="1" w:afterLines="0"/>
              <w:rPr>
                <w:rFonts w:ascii="Calibri" w:hAnsi="Calibri" w:cs="Calibri"/>
                <w:sz w:val="20"/>
              </w:rPr>
            </w:pPr>
            <w:r>
              <w:rPr>
                <w:rFonts w:ascii="Calibri" w:hAnsi="Calibri" w:cs="Calibri"/>
                <w:sz w:val="20"/>
              </w:rPr>
              <w:t>FFS how to define location</w:t>
            </w:r>
          </w:p>
          <w:p w:rsidR="00136DE0" w:rsidRDefault="00A45420">
            <w:pPr>
              <w:pStyle w:val="LGTdoc"/>
              <w:numPr>
                <w:ilvl w:val="0"/>
                <w:numId w:val="8"/>
              </w:numPr>
              <w:spacing w:before="120" w:beforeAutospacing="1" w:afterLines="0"/>
              <w:rPr>
                <w:rFonts w:ascii="Calibri" w:hAnsi="Calibri" w:cs="Calibri"/>
                <w:sz w:val="20"/>
              </w:rPr>
            </w:pPr>
            <w:r>
              <w:rPr>
                <w:rFonts w:ascii="Calibri" w:hAnsi="Calibri" w:cs="Calibri"/>
                <w:sz w:val="20"/>
              </w:rPr>
              <w:t xml:space="preserve">Send a response LS to SA2 including this agreement – </w:t>
            </w:r>
            <w:hyperlink r:id="rId9" w:history="1">
              <w:r>
                <w:rPr>
                  <w:rStyle w:val="Hyperlink"/>
                  <w:rFonts w:ascii="Calibri" w:hAnsi="Calibri" w:cs="Calibri"/>
                  <w:b/>
                  <w:sz w:val="20"/>
                </w:rPr>
                <w:t>R1-1907823</w:t>
              </w:r>
            </w:hyperlink>
            <w:r>
              <w:rPr>
                <w:rFonts w:ascii="Calibri" w:hAnsi="Calibri" w:cs="Calibri"/>
                <w:sz w:val="20"/>
              </w:rPr>
              <w:t xml:space="preserve"> (</w:t>
            </w:r>
            <w:proofErr w:type="spellStart"/>
            <w:r>
              <w:rPr>
                <w:rFonts w:ascii="Calibri" w:hAnsi="Calibri" w:cs="Calibri"/>
                <w:sz w:val="20"/>
              </w:rPr>
              <w:t>Hanbyul</w:t>
            </w:r>
            <w:proofErr w:type="spellEnd"/>
            <w:r>
              <w:rPr>
                <w:rFonts w:ascii="Calibri" w:hAnsi="Calibri" w:cs="Calibri"/>
                <w:sz w:val="20"/>
              </w:rPr>
              <w:t xml:space="preserve">, LGE), which is </w:t>
            </w:r>
            <w:r>
              <w:rPr>
                <w:rFonts w:ascii="Calibri" w:hAnsi="Calibri" w:cs="Calibri"/>
                <w:sz w:val="20"/>
                <w:highlight w:val="green"/>
              </w:rPr>
              <w:t xml:space="preserve">approved </w:t>
            </w:r>
            <w:r>
              <w:rPr>
                <w:rFonts w:ascii="Calibri" w:hAnsi="Calibri" w:cs="Calibri"/>
                <w:sz w:val="20"/>
              </w:rPr>
              <w:t xml:space="preserve">with final LS in </w:t>
            </w:r>
            <w:hyperlink r:id="rId10" w:history="1">
              <w:r>
                <w:rPr>
                  <w:rStyle w:val="Hyperlink"/>
                  <w:rFonts w:ascii="Calibri" w:hAnsi="Calibri" w:cs="Calibri"/>
                  <w:sz w:val="20"/>
                  <w:highlight w:val="green"/>
                </w:rPr>
                <w:t>R1-1907908</w:t>
              </w:r>
            </w:hyperlink>
          </w:p>
          <w:p w:rsidR="00136DE0" w:rsidRDefault="00136DE0">
            <w:pPr>
              <w:spacing w:before="120" w:after="120"/>
              <w:ind w:left="1440" w:hanging="1440"/>
            </w:pPr>
          </w:p>
          <w:p w:rsidR="00136DE0" w:rsidRDefault="00A45420">
            <w:pPr>
              <w:spacing w:before="120" w:after="120"/>
              <w:ind w:left="1440" w:hanging="1440"/>
            </w:pPr>
            <w:r>
              <w:rPr>
                <w:highlight w:val="green"/>
              </w:rPr>
              <w:t>Agreements</w:t>
            </w:r>
            <w:r>
              <w:t>:</w:t>
            </w:r>
          </w:p>
          <w:p w:rsidR="00136DE0" w:rsidRDefault="00A45420">
            <w:pPr>
              <w:pStyle w:val="LGTdoc"/>
              <w:numPr>
                <w:ilvl w:val="0"/>
                <w:numId w:val="9"/>
              </w:numPr>
              <w:spacing w:before="120" w:beforeAutospacing="1" w:afterLines="0"/>
              <w:rPr>
                <w:rFonts w:ascii="Calibri" w:hAnsi="Calibri" w:cs="Calibri"/>
                <w:sz w:val="20"/>
              </w:rPr>
            </w:pPr>
            <w:r>
              <w:rPr>
                <w:rFonts w:ascii="Calibri" w:hAnsi="Calibri" w:cs="Calibri"/>
                <w:sz w:val="20"/>
              </w:rPr>
              <w:t>For the period of N slot(s) of PSFCH resource, N=2 and N=4 are additionally supported.</w:t>
            </w:r>
          </w:p>
          <w:p w:rsidR="00136DE0" w:rsidRDefault="00A45420">
            <w:pPr>
              <w:pStyle w:val="LGTdoc"/>
              <w:spacing w:before="120" w:beforeAutospacing="1" w:afterLines="0"/>
              <w:rPr>
                <w:rFonts w:ascii="Calibri" w:hAnsi="Calibri" w:cs="Calibri"/>
                <w:sz w:val="20"/>
              </w:rPr>
            </w:pPr>
            <w:r>
              <w:rPr>
                <w:rFonts w:ascii="Calibri" w:hAnsi="Calibri" w:cs="Calibri"/>
                <w:sz w:val="20"/>
                <w:highlight w:val="green"/>
              </w:rPr>
              <w:t>Agreements</w:t>
            </w:r>
            <w:r>
              <w:rPr>
                <w:rFonts w:ascii="Calibri" w:hAnsi="Calibri" w:cs="Calibri"/>
                <w:sz w:val="20"/>
              </w:rPr>
              <w:t>:</w:t>
            </w:r>
          </w:p>
          <w:p w:rsidR="00136DE0" w:rsidRDefault="00A45420">
            <w:pPr>
              <w:pStyle w:val="LGTdoc"/>
              <w:numPr>
                <w:ilvl w:val="0"/>
                <w:numId w:val="9"/>
              </w:numPr>
              <w:spacing w:before="120" w:beforeAutospacing="1" w:afterLines="0"/>
              <w:rPr>
                <w:rFonts w:ascii="Calibri" w:hAnsi="Calibri" w:cs="Calibri"/>
                <w:sz w:val="20"/>
              </w:rPr>
            </w:pPr>
            <w:r>
              <w:rPr>
                <w:rFonts w:ascii="Calibri" w:hAnsi="Calibri" w:cs="Calibri"/>
                <w:sz w:val="20"/>
              </w:rPr>
              <w:t>For a PSSCH transmission with its last symbol in slot n, when the corresponding HARQ feedback is due for transmission, it is expected to be in slot n+a where a is the smallest integer larger than or equal to K with the condition that slot n+</w:t>
            </w:r>
            <w:proofErr w:type="gramStart"/>
            <w:r>
              <w:rPr>
                <w:rFonts w:ascii="Calibri" w:hAnsi="Calibri" w:cs="Calibri"/>
                <w:sz w:val="20"/>
              </w:rPr>
              <w:t>a contains</w:t>
            </w:r>
            <w:proofErr w:type="gramEnd"/>
            <w:r>
              <w:rPr>
                <w:rFonts w:ascii="Calibri" w:hAnsi="Calibri" w:cs="Calibri"/>
                <w:sz w:val="20"/>
              </w:rPr>
              <w:t xml:space="preserve"> PSFCH resources.</w:t>
            </w:r>
          </w:p>
          <w:p w:rsidR="00136DE0" w:rsidRDefault="00A45420">
            <w:pPr>
              <w:pStyle w:val="LGTdoc"/>
              <w:numPr>
                <w:ilvl w:val="1"/>
                <w:numId w:val="9"/>
              </w:numPr>
              <w:spacing w:before="120" w:beforeAutospacing="1" w:afterLines="0"/>
              <w:rPr>
                <w:rFonts w:ascii="Calibri" w:hAnsi="Calibri" w:cs="Calibri"/>
                <w:sz w:val="20"/>
              </w:rPr>
            </w:pPr>
            <w:r>
              <w:rPr>
                <w:rFonts w:ascii="Calibri" w:hAnsi="Calibri" w:cs="Calibri"/>
                <w:sz w:val="20"/>
              </w:rPr>
              <w:t>FFS details of K</w:t>
            </w:r>
          </w:p>
          <w:p w:rsidR="00136DE0" w:rsidRDefault="00A45420">
            <w:pPr>
              <w:pStyle w:val="LGTdoc"/>
              <w:spacing w:before="120" w:beforeAutospacing="1" w:afterLines="0"/>
              <w:rPr>
                <w:rFonts w:ascii="Calibri" w:hAnsi="Calibri" w:cs="Calibri"/>
                <w:sz w:val="20"/>
              </w:rPr>
            </w:pPr>
            <w:r>
              <w:rPr>
                <w:rFonts w:ascii="Calibri" w:hAnsi="Calibri" w:cs="Calibri"/>
                <w:sz w:val="20"/>
                <w:highlight w:val="green"/>
              </w:rPr>
              <w:t>Agreements</w:t>
            </w:r>
            <w:r>
              <w:rPr>
                <w:rFonts w:ascii="Calibri" w:hAnsi="Calibri" w:cs="Calibri"/>
                <w:sz w:val="20"/>
              </w:rPr>
              <w:t>:</w:t>
            </w:r>
          </w:p>
          <w:p w:rsidR="00136DE0" w:rsidRDefault="00A45420">
            <w:pPr>
              <w:numPr>
                <w:ilvl w:val="0"/>
                <w:numId w:val="9"/>
              </w:numPr>
              <w:spacing w:before="120" w:after="120"/>
              <w:rPr>
                <w:rFonts w:ascii="Calibri" w:hAnsi="Calibri" w:cs="Calibri"/>
                <w:lang w:eastAsia="ko-KR"/>
              </w:rPr>
            </w:pPr>
            <w:r>
              <w:rPr>
                <w:rFonts w:ascii="Calibri" w:hAnsi="Calibri" w:cs="Calibri"/>
                <w:lang w:eastAsia="ko-KR"/>
              </w:rPr>
              <w:t>At least for the case when the PSFCH in a slot is in response to a single PSSCH:</w:t>
            </w:r>
          </w:p>
          <w:p w:rsidR="00136DE0" w:rsidRDefault="00A45420">
            <w:pPr>
              <w:pStyle w:val="LGTdoc"/>
              <w:numPr>
                <w:ilvl w:val="1"/>
                <w:numId w:val="9"/>
              </w:numPr>
              <w:spacing w:before="120" w:beforeAutospacing="1" w:afterLines="0"/>
              <w:rPr>
                <w:rFonts w:ascii="Calibri" w:hAnsi="Calibri" w:cs="Calibri"/>
                <w:sz w:val="20"/>
              </w:rPr>
            </w:pPr>
            <w:r>
              <w:rPr>
                <w:rFonts w:ascii="Calibri" w:hAnsi="Calibri" w:cs="Calibri"/>
                <w:sz w:val="20"/>
              </w:rPr>
              <w:t>Implicit mechanism is used to determine at least frequency and/or code domain resource of PSFCH, within a configured resource pool. At least the following parameters are used in the implicit mechanism:</w:t>
            </w:r>
          </w:p>
          <w:p w:rsidR="00136DE0" w:rsidRDefault="00A45420">
            <w:pPr>
              <w:pStyle w:val="LGTdoc"/>
              <w:numPr>
                <w:ilvl w:val="2"/>
                <w:numId w:val="9"/>
              </w:numPr>
              <w:spacing w:before="120" w:beforeAutospacing="1" w:after="120"/>
              <w:rPr>
                <w:rFonts w:ascii="Calibri" w:hAnsi="Calibri" w:cs="Calibri"/>
                <w:sz w:val="20"/>
              </w:rPr>
            </w:pPr>
            <w:r>
              <w:rPr>
                <w:rFonts w:ascii="Calibri" w:hAnsi="Calibri" w:cs="Calibri"/>
                <w:sz w:val="20"/>
              </w:rPr>
              <w:t>Slot index (FFS details) associated with PSCCH/PSSCH/PSFCH</w:t>
            </w:r>
          </w:p>
          <w:p w:rsidR="00136DE0" w:rsidRDefault="00A45420">
            <w:pPr>
              <w:pStyle w:val="LGTdoc"/>
              <w:numPr>
                <w:ilvl w:val="2"/>
                <w:numId w:val="9"/>
              </w:numPr>
              <w:spacing w:before="120" w:beforeAutospacing="1" w:after="120"/>
              <w:rPr>
                <w:rFonts w:ascii="Calibri" w:hAnsi="Calibri" w:cs="Calibri"/>
                <w:sz w:val="20"/>
              </w:rPr>
            </w:pPr>
            <w:r>
              <w:rPr>
                <w:rFonts w:ascii="Calibri" w:hAnsi="Calibri" w:cs="Calibri"/>
                <w:sz w:val="20"/>
              </w:rPr>
              <w:t>Sub-channel(s) (FFS details) associated with PSCCH/PSSCH</w:t>
            </w:r>
          </w:p>
          <w:p w:rsidR="00136DE0" w:rsidRDefault="00A45420">
            <w:pPr>
              <w:pStyle w:val="LGTdoc"/>
              <w:numPr>
                <w:ilvl w:val="2"/>
                <w:numId w:val="9"/>
              </w:numPr>
              <w:spacing w:before="120" w:beforeAutospacing="1" w:after="120"/>
              <w:rPr>
                <w:rFonts w:ascii="Calibri" w:hAnsi="Calibri" w:cs="Calibri"/>
                <w:sz w:val="20"/>
              </w:rPr>
            </w:pPr>
            <w:r>
              <w:rPr>
                <w:rFonts w:ascii="Calibri" w:hAnsi="Calibri" w:cs="Calibri"/>
                <w:sz w:val="20"/>
              </w:rPr>
              <w:t>Identifier (FFS details) to distinguish each RX UE in a group for Option 2 groupcast HARQ feedback</w:t>
            </w:r>
          </w:p>
          <w:p w:rsidR="00136DE0" w:rsidRDefault="00A45420">
            <w:pPr>
              <w:pStyle w:val="LGTdoc"/>
              <w:numPr>
                <w:ilvl w:val="2"/>
                <w:numId w:val="9"/>
              </w:numPr>
              <w:spacing w:before="120" w:beforeAutospacing="1" w:after="120"/>
              <w:rPr>
                <w:rFonts w:ascii="Calibri" w:hAnsi="Calibri" w:cs="Calibri"/>
                <w:sz w:val="20"/>
              </w:rPr>
            </w:pPr>
            <w:r>
              <w:rPr>
                <w:rFonts w:ascii="Calibri" w:hAnsi="Calibri" w:cs="Calibri"/>
                <w:sz w:val="20"/>
              </w:rPr>
              <w:t xml:space="preserve">FFS detailed applicability of the above parameters </w:t>
            </w:r>
          </w:p>
          <w:p w:rsidR="00136DE0" w:rsidRDefault="00A45420">
            <w:pPr>
              <w:pStyle w:val="LGTdoc"/>
              <w:numPr>
                <w:ilvl w:val="2"/>
                <w:numId w:val="9"/>
              </w:numPr>
              <w:spacing w:before="120" w:beforeAutospacing="1" w:after="120"/>
              <w:rPr>
                <w:lang w:eastAsia="zh-CN"/>
              </w:rPr>
            </w:pPr>
            <w:r>
              <w:rPr>
                <w:rFonts w:ascii="Calibri" w:hAnsi="Calibri" w:cs="Calibri"/>
                <w:sz w:val="20"/>
              </w:rPr>
              <w:t>FFS: Other parameters (e.g. SL-RSRP/SINR, Layer-1 source ID, location information, etc.)</w:t>
            </w:r>
          </w:p>
        </w:tc>
      </w:tr>
    </w:tbl>
    <w:p w:rsidR="00136DE0" w:rsidRDefault="00A45420">
      <w:pPr>
        <w:spacing w:before="120" w:after="120"/>
        <w:rPr>
          <w:sz w:val="20"/>
        </w:rPr>
      </w:pPr>
      <w:r>
        <w:rPr>
          <w:rFonts w:hint="eastAsia"/>
          <w:sz w:val="20"/>
        </w:rPr>
        <w:lastRenderedPageBreak/>
        <w:t>In this contribution, we will further discuss these procedures, especially for the remaining FFS points.</w:t>
      </w:r>
    </w:p>
    <w:p w:rsidR="00136DE0" w:rsidRDefault="00A45420">
      <w:pPr>
        <w:pStyle w:val="Heading1"/>
        <w:spacing w:before="120" w:after="120"/>
        <w:ind w:left="0"/>
      </w:pPr>
      <w:r>
        <w:rPr>
          <w:rFonts w:hint="eastAsia"/>
        </w:rPr>
        <w:lastRenderedPageBreak/>
        <w:t xml:space="preserve">HARQ procedure </w:t>
      </w:r>
    </w:p>
    <w:p w:rsidR="00136DE0" w:rsidRDefault="00A45420">
      <w:pPr>
        <w:pStyle w:val="Heading2"/>
        <w:spacing w:before="120" w:after="120"/>
        <w:ind w:left="991" w:right="210" w:hangingChars="354" w:hanging="991"/>
        <w:rPr>
          <w:szCs w:val="28"/>
        </w:rPr>
      </w:pPr>
      <w:r>
        <w:rPr>
          <w:rFonts w:hint="eastAsia"/>
          <w:szCs w:val="28"/>
        </w:rPr>
        <w:t xml:space="preserve">PSFCH resource </w:t>
      </w:r>
      <w:r>
        <w:rPr>
          <w:rFonts w:eastAsia="SimSun" w:hint="eastAsia"/>
          <w:szCs w:val="28"/>
        </w:rPr>
        <w:t>mapping</w:t>
      </w:r>
    </w:p>
    <w:p w:rsidR="00136DE0" w:rsidRDefault="00A45420">
      <w:pPr>
        <w:spacing w:before="120" w:after="120"/>
        <w:rPr>
          <w:sz w:val="20"/>
          <w:szCs w:val="22"/>
        </w:rPr>
      </w:pPr>
      <w:r>
        <w:rPr>
          <w:rFonts w:hint="eastAsia"/>
          <w:sz w:val="20"/>
          <w:szCs w:val="22"/>
        </w:rPr>
        <w:t xml:space="preserve">It was agreed that the time gap between PSSCH and the associated PSFCH containing HARQ feedback is a, and </w:t>
      </w:r>
      <w:proofErr w:type="gramStart"/>
      <w:r>
        <w:rPr>
          <w:rFonts w:hint="eastAsia"/>
          <w:sz w:val="20"/>
          <w:szCs w:val="22"/>
        </w:rPr>
        <w:t>a is</w:t>
      </w:r>
      <w:proofErr w:type="gramEnd"/>
      <w:r>
        <w:rPr>
          <w:rFonts w:hint="eastAsia"/>
          <w:sz w:val="20"/>
          <w:szCs w:val="22"/>
        </w:rPr>
        <w:t xml:space="preserve"> integer which is bigger or equal to K. In our point of view, to make all the UEs have the same PSSCH-to-PSFCH mapping </w:t>
      </w:r>
      <w:proofErr w:type="gramStart"/>
      <w:r>
        <w:rPr>
          <w:rFonts w:hint="eastAsia"/>
          <w:sz w:val="20"/>
          <w:szCs w:val="22"/>
        </w:rPr>
        <w:t>rules,</w:t>
      </w:r>
      <w:proofErr w:type="gramEnd"/>
      <w:r>
        <w:rPr>
          <w:rFonts w:hint="eastAsia"/>
          <w:sz w:val="20"/>
          <w:szCs w:val="22"/>
        </w:rPr>
        <w:t xml:space="preserve"> K should be common for all the UEs within a resource pool.</w:t>
      </w:r>
      <w:r>
        <w:rPr>
          <w:rFonts w:hint="eastAsia"/>
        </w:rPr>
        <w:t xml:space="preserve"> NR V2X </w:t>
      </w:r>
      <w:r>
        <w:t>is supposed to</w:t>
      </w:r>
      <w:r>
        <w:rPr>
          <w:rFonts w:hint="eastAsia"/>
        </w:rPr>
        <w:t xml:space="preserve"> support multiple type</w:t>
      </w:r>
      <w:r>
        <w:t>s</w:t>
      </w:r>
      <w:r>
        <w:rPr>
          <w:rFonts w:hint="eastAsia"/>
        </w:rPr>
        <w:t xml:space="preserve"> of services with different latency requirements, and UE may also have different capabilities, so </w:t>
      </w:r>
      <w:r>
        <w:t>the time gap between PSSCH and the associated PSFCH</w:t>
      </w:r>
      <w:r>
        <w:rPr>
          <w:rFonts w:hint="eastAsia"/>
        </w:rPr>
        <w:t xml:space="preserve"> containing HARQ feedback</w:t>
      </w:r>
      <w:r>
        <w:t xml:space="preserve"> </w:t>
      </w:r>
      <w:r>
        <w:rPr>
          <w:rFonts w:hint="eastAsia"/>
        </w:rPr>
        <w:t>should be (pre-</w:t>
      </w:r>
      <w:proofErr w:type="gramStart"/>
      <w:r>
        <w:rPr>
          <w:rFonts w:hint="eastAsia"/>
        </w:rPr>
        <w:t>)configurable</w:t>
      </w:r>
      <w:proofErr w:type="gramEnd"/>
      <w:r>
        <w:rPr>
          <w:rFonts w:hint="eastAsia"/>
        </w:rPr>
        <w:t xml:space="preserve"> by the network, i.e., K </w:t>
      </w:r>
      <w:r>
        <w:rPr>
          <w:rFonts w:hint="eastAsia"/>
          <w:sz w:val="20"/>
          <w:szCs w:val="22"/>
        </w:rPr>
        <w:t xml:space="preserve">should be a configurable value. </w:t>
      </w:r>
    </w:p>
    <w:p w:rsidR="00136DE0" w:rsidRDefault="00A45420">
      <w:pPr>
        <w:pStyle w:val="YJ-Proposal"/>
        <w:spacing w:before="120" w:after="120"/>
        <w:rPr>
          <w:szCs w:val="22"/>
        </w:rPr>
      </w:pPr>
      <w:bookmarkStart w:id="0" w:name="_Toc16859096"/>
      <w:r>
        <w:rPr>
          <w:lang w:val="en-US" w:eastAsia="zh-CN"/>
        </w:rPr>
        <w:t>T</w:t>
      </w:r>
      <w:r>
        <w:rPr>
          <w:rFonts w:hint="eastAsia"/>
          <w:lang w:val="en-US" w:eastAsia="zh-CN"/>
        </w:rPr>
        <w:t xml:space="preserve">he minimal time gap </w:t>
      </w:r>
      <w:r>
        <w:rPr>
          <w:lang w:val="en-US" w:eastAsia="zh-CN"/>
        </w:rPr>
        <w:t xml:space="preserve">(K) </w:t>
      </w:r>
      <w:r>
        <w:rPr>
          <w:rFonts w:hint="eastAsia"/>
          <w:lang w:val="en-US" w:eastAsia="zh-CN"/>
        </w:rPr>
        <w:t xml:space="preserve">between </w:t>
      </w:r>
      <w:r>
        <w:rPr>
          <w:lang w:val="en-US"/>
        </w:rPr>
        <w:t>PSSCH and</w:t>
      </w:r>
      <w:r>
        <w:rPr>
          <w:rFonts w:hint="eastAsia"/>
          <w:lang w:val="en-US" w:eastAsia="zh-CN"/>
        </w:rPr>
        <w:t xml:space="preserve"> its</w:t>
      </w:r>
      <w:r>
        <w:rPr>
          <w:lang w:val="en-US"/>
        </w:rPr>
        <w:t xml:space="preserve"> associated PSFCH</w:t>
      </w:r>
      <w:r>
        <w:rPr>
          <w:rFonts w:hint="eastAsia"/>
          <w:lang w:val="en-US" w:eastAsia="zh-CN"/>
        </w:rPr>
        <w:t xml:space="preserve"> should be </w:t>
      </w:r>
      <w:r>
        <w:rPr>
          <w:rFonts w:hint="eastAsia"/>
          <w:szCs w:val="22"/>
        </w:rPr>
        <w:t>configur</w:t>
      </w:r>
      <w:r>
        <w:rPr>
          <w:rFonts w:hint="eastAsia"/>
          <w:szCs w:val="22"/>
          <w:lang w:val="en-US" w:eastAsia="zh-CN"/>
        </w:rPr>
        <w:t>able</w:t>
      </w:r>
      <w:r>
        <w:rPr>
          <w:rFonts w:hint="eastAsia"/>
          <w:lang w:val="en-US" w:eastAsia="zh-CN"/>
        </w:rPr>
        <w:t>. FFS whether K is configured per BWP or per resource pool.</w:t>
      </w:r>
      <w:bookmarkEnd w:id="0"/>
    </w:p>
    <w:p w:rsidR="00136DE0" w:rsidRDefault="00A45420">
      <w:pPr>
        <w:spacing w:before="120" w:after="120"/>
        <w:rPr>
          <w:sz w:val="20"/>
        </w:rPr>
      </w:pPr>
      <w:r>
        <w:rPr>
          <w:rFonts w:hint="eastAsia"/>
          <w:sz w:val="20"/>
          <w:szCs w:val="22"/>
        </w:rPr>
        <w:t xml:space="preserve">For frequency/code domain PSSCH-to-PSFCH mapping, the details are still FFS. </w:t>
      </w:r>
      <w:r>
        <w:rPr>
          <w:rFonts w:hint="eastAsia"/>
          <w:sz w:val="20"/>
        </w:rPr>
        <w:t xml:space="preserve">Each PSFCH is mapped to a time, frequency, and code resource, for the PSFCH resource in a slot, the total distinguishable PSFCH number could be denote as </w:t>
      </w:r>
      <w:r>
        <w:rPr>
          <w:sz w:val="20"/>
        </w:rPr>
        <w:t>M (</w:t>
      </w:r>
      <w:r>
        <w:rPr>
          <w:rFonts w:hint="eastAsia"/>
          <w:sz w:val="20"/>
        </w:rPr>
        <w:t>related the resource pool BW, the PSFCH format). For the PSFCH period N, 1,</w:t>
      </w:r>
      <w:r>
        <w:rPr>
          <w:sz w:val="20"/>
        </w:rPr>
        <w:t xml:space="preserve"> </w:t>
      </w:r>
      <w:r>
        <w:rPr>
          <w:rFonts w:hint="eastAsia"/>
          <w:sz w:val="20"/>
        </w:rPr>
        <w:t>2 and4 are supported. Base</w:t>
      </w:r>
      <w:r>
        <w:rPr>
          <w:sz w:val="20"/>
        </w:rPr>
        <w:t>d</w:t>
      </w:r>
      <w:r>
        <w:rPr>
          <w:rFonts w:hint="eastAsia"/>
          <w:sz w:val="20"/>
        </w:rPr>
        <w:t xml:space="preserve"> on </w:t>
      </w:r>
      <w:proofErr w:type="gramStart"/>
      <w:r>
        <w:rPr>
          <w:rFonts w:hint="eastAsia"/>
          <w:sz w:val="20"/>
        </w:rPr>
        <w:t>these agreement</w:t>
      </w:r>
      <w:proofErr w:type="gramEnd"/>
      <w:r>
        <w:rPr>
          <w:rFonts w:hint="eastAsia"/>
          <w:sz w:val="20"/>
        </w:rPr>
        <w:t xml:space="preserve">, it could be observed that several PSSCH slot would map to the PSFCH resource in the same slot n. And for PSSCH allocation in frequency domain, </w:t>
      </w:r>
      <w:proofErr w:type="spellStart"/>
      <w:r>
        <w:rPr>
          <w:rFonts w:hint="eastAsia"/>
          <w:sz w:val="20"/>
        </w:rPr>
        <w:t>subchannel</w:t>
      </w:r>
      <w:proofErr w:type="spellEnd"/>
      <w:r>
        <w:rPr>
          <w:rFonts w:hint="eastAsia"/>
          <w:sz w:val="20"/>
        </w:rPr>
        <w:t xml:space="preserve"> based allocation is supported, so all the </w:t>
      </w:r>
      <w:proofErr w:type="spellStart"/>
      <w:r>
        <w:rPr>
          <w:rFonts w:hint="eastAsia"/>
          <w:sz w:val="20"/>
        </w:rPr>
        <w:t>subchannels</w:t>
      </w:r>
      <w:proofErr w:type="spellEnd"/>
      <w:r>
        <w:rPr>
          <w:rFonts w:hint="eastAsia"/>
          <w:sz w:val="20"/>
        </w:rPr>
        <w:t xml:space="preserve"> on these slots will map to the PSFCH resources on slot n. As in our companion paper</w:t>
      </w:r>
      <w:r>
        <w:rPr>
          <w:sz w:val="20"/>
        </w:rPr>
        <w:t xml:space="preserve"> </w:t>
      </w:r>
      <w:r>
        <w:rPr>
          <w:rFonts w:hint="eastAsia"/>
          <w:sz w:val="20"/>
        </w:rPr>
        <w:t xml:space="preserve">[2], it proposes that </w:t>
      </w:r>
      <w:r>
        <w:t>the PSFCH</w:t>
      </w:r>
      <w:r>
        <w:rPr>
          <w:rFonts w:hint="eastAsia"/>
        </w:rPr>
        <w:t xml:space="preserve"> containing HARQ feedback should be within the </w:t>
      </w:r>
      <w:proofErr w:type="spellStart"/>
      <w:r>
        <w:rPr>
          <w:rFonts w:hint="eastAsia"/>
        </w:rPr>
        <w:t>subchannel</w:t>
      </w:r>
      <w:proofErr w:type="spellEnd"/>
      <w:r>
        <w:rPr>
          <w:rFonts w:hint="eastAsia"/>
        </w:rPr>
        <w:t xml:space="preserve">(s) of its associated PSSCH, i.e., </w:t>
      </w:r>
      <w:proofErr w:type="spellStart"/>
      <w:r>
        <w:rPr>
          <w:rFonts w:hint="eastAsia"/>
        </w:rPr>
        <w:t>subchannel</w:t>
      </w:r>
      <w:proofErr w:type="spellEnd"/>
      <w:r>
        <w:rPr>
          <w:rFonts w:hint="eastAsia"/>
        </w:rPr>
        <w:t xml:space="preserve"> based mapping rule is preferred. </w:t>
      </w:r>
      <w:r>
        <w:rPr>
          <w:rFonts w:hint="eastAsia"/>
          <w:sz w:val="20"/>
        </w:rPr>
        <w:t xml:space="preserve">In this method, the PSFCH </w:t>
      </w:r>
      <w:proofErr w:type="gramStart"/>
      <w:r>
        <w:rPr>
          <w:rFonts w:hint="eastAsia"/>
          <w:sz w:val="20"/>
        </w:rPr>
        <w:t xml:space="preserve">resources within the BW of a </w:t>
      </w:r>
      <w:proofErr w:type="spellStart"/>
      <w:r>
        <w:rPr>
          <w:rFonts w:hint="eastAsia"/>
          <w:sz w:val="20"/>
        </w:rPr>
        <w:t>subchannel</w:t>
      </w:r>
      <w:proofErr w:type="spellEnd"/>
      <w:r>
        <w:rPr>
          <w:rFonts w:hint="eastAsia"/>
          <w:sz w:val="20"/>
        </w:rPr>
        <w:t xml:space="preserve"> is</w:t>
      </w:r>
      <w:proofErr w:type="gramEnd"/>
      <w:r>
        <w:rPr>
          <w:rFonts w:hint="eastAsia"/>
          <w:sz w:val="20"/>
        </w:rPr>
        <w:t xml:space="preserve"> divided into several subgroups, and the details could be found in the example below:</w:t>
      </w:r>
    </w:p>
    <w:p w:rsidR="00136DE0" w:rsidRDefault="00A45420">
      <w:pPr>
        <w:numPr>
          <w:ilvl w:val="0"/>
          <w:numId w:val="10"/>
        </w:numPr>
        <w:spacing w:before="120" w:after="120"/>
        <w:rPr>
          <w:sz w:val="20"/>
        </w:rPr>
      </w:pPr>
      <w:r>
        <w:rPr>
          <w:rFonts w:hint="eastAsia"/>
          <w:sz w:val="20"/>
        </w:rPr>
        <w:t xml:space="preserve">The number of separated PSFCHs within a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on a slot that has PSFCH configured could be denoted as</w:t>
      </w:r>
      <w:r w:rsidRPr="00E56021">
        <w:rPr>
          <w:rFonts w:hint="eastAsia"/>
          <w:position w:val="-12"/>
          <w:sz w:val="20"/>
        </w:rPr>
        <w:object w:dxaOrig="310" w:dyaOrig="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8.15pt" o:ole="">
            <v:imagedata r:id="rId11" o:title=""/>
          </v:shape>
          <o:OLEObject Type="Embed" ProgID="Equation.3" ShapeID="_x0000_i1025" DrawAspect="Content" ObjectID="_1627472338" r:id="rId12"/>
        </w:object>
      </w:r>
      <w:r>
        <w:rPr>
          <w:rFonts w:hint="eastAsia"/>
          <w:sz w:val="20"/>
        </w:rPr>
        <w:t xml:space="preserve">, e.g., the number of separated PSFCH in frequency domain within a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could be denoted as X, X equals </w:t>
      </w:r>
      <w:proofErr w:type="gramStart"/>
      <w:r>
        <w:rPr>
          <w:rFonts w:hint="eastAsia"/>
          <w:sz w:val="20"/>
        </w:rPr>
        <w:t xml:space="preserve">to </w:t>
      </w:r>
      <w:proofErr w:type="gramEnd"/>
      <w:r w:rsidRPr="00E56021">
        <w:rPr>
          <w:rFonts w:hint="eastAsia"/>
          <w:position w:val="-12"/>
          <w:sz w:val="20"/>
        </w:rPr>
        <w:object w:dxaOrig="1777" w:dyaOrig="374">
          <v:shape id="_x0000_i1026" type="#_x0000_t75" style="width:89pt;height:18.75pt" o:ole="">
            <v:imagedata r:id="rId13" o:title=""/>
          </v:shape>
          <o:OLEObject Type="Embed" ProgID="Equation.3" ShapeID="_x0000_i1026" DrawAspect="Content" ObjectID="_1627472339" r:id="rId14"/>
        </w:object>
      </w:r>
      <w:r>
        <w:rPr>
          <w:rFonts w:hint="eastAsia"/>
        </w:rPr>
        <w:t xml:space="preserve">, and </w:t>
      </w:r>
      <w:r w:rsidRPr="00E56021">
        <w:rPr>
          <w:rFonts w:hint="eastAsia"/>
          <w:position w:val="-10"/>
          <w:sz w:val="20"/>
        </w:rPr>
        <w:object w:dxaOrig="939" w:dyaOrig="365">
          <v:shape id="_x0000_i1027" type="#_x0000_t75" style="width:46.85pt;height:18.15pt" o:ole="">
            <v:imagedata r:id="rId15" o:title=""/>
          </v:shape>
          <o:OLEObject Type="Embed" ProgID="Equation.3" ShapeID="_x0000_i1027" DrawAspect="Content" ObjectID="_1627472340" r:id="rId16"/>
        </w:object>
      </w:r>
      <w:r>
        <w:rPr>
          <w:rFonts w:hint="eastAsia"/>
          <w:sz w:val="20"/>
        </w:rPr>
        <w:t xml:space="preserve">is size a </w:t>
      </w:r>
      <w:proofErr w:type="spellStart"/>
      <w:r>
        <w:rPr>
          <w:rFonts w:hint="eastAsia"/>
          <w:sz w:val="20"/>
        </w:rPr>
        <w:t>subchannel</w:t>
      </w:r>
      <w:proofErr w:type="spellEnd"/>
      <w:r>
        <w:rPr>
          <w:rFonts w:hint="eastAsia"/>
          <w:sz w:val="20"/>
        </w:rPr>
        <w:t xml:space="preserve"> in unit of RB, </w:t>
      </w:r>
      <w:r w:rsidRPr="00E56021">
        <w:rPr>
          <w:rFonts w:hint="eastAsia"/>
          <w:position w:val="-10"/>
          <w:sz w:val="20"/>
        </w:rPr>
        <w:object w:dxaOrig="602" w:dyaOrig="365">
          <v:shape id="_x0000_i1028" type="#_x0000_t75" style="width:30.45pt;height:18.15pt" o:ole="">
            <v:imagedata r:id="rId17" o:title=""/>
          </v:shape>
          <o:OLEObject Type="Embed" ProgID="Equation.3" ShapeID="_x0000_i1028" DrawAspect="Content" ObjectID="_1627472341" r:id="rId18"/>
        </w:object>
      </w:r>
      <w:r>
        <w:rPr>
          <w:rFonts w:hint="eastAsia"/>
          <w:sz w:val="20"/>
        </w:rPr>
        <w:t xml:space="preserve">is size a PSFCH in frequency domain in unit of RB. And assume the number of separated PSFCH is Y in code domain, Y related the number of orthogonal PSFCH sequence and the bits of one PSFCH. So </w:t>
      </w:r>
      <w:r w:rsidRPr="00E56021">
        <w:rPr>
          <w:rFonts w:hint="eastAsia"/>
          <w:position w:val="-12"/>
          <w:sz w:val="20"/>
        </w:rPr>
        <w:object w:dxaOrig="310" w:dyaOrig="365">
          <v:shape id="_x0000_i1029" type="#_x0000_t75" style="width:15.2pt;height:18.15pt" o:ole="">
            <v:imagedata r:id="rId11" o:title=""/>
          </v:shape>
          <o:OLEObject Type="Embed" ProgID="Equation.3" ShapeID="_x0000_i1029" DrawAspect="Content" ObjectID="_1627472342" r:id="rId19"/>
        </w:object>
      </w:r>
      <w:r>
        <w:rPr>
          <w:rFonts w:hint="eastAsia"/>
          <w:sz w:val="20"/>
        </w:rPr>
        <w:t xml:space="preserve">should be equal to X*Y. </w:t>
      </w:r>
    </w:p>
    <w:p w:rsidR="00136DE0" w:rsidRDefault="00A45420">
      <w:pPr>
        <w:numPr>
          <w:ilvl w:val="0"/>
          <w:numId w:val="10"/>
        </w:numPr>
        <w:spacing w:before="120" w:after="120"/>
        <w:rPr>
          <w:sz w:val="20"/>
        </w:rPr>
      </w:pPr>
      <w:r>
        <w:rPr>
          <w:rFonts w:hint="eastAsia"/>
          <w:sz w:val="20"/>
        </w:rPr>
        <w:t xml:space="preserve">Assume that M slots will map to the same PSFCH resources in slot n, the subchannel i in these slots could be ordered in time domain </w:t>
      </w:r>
      <w:proofErr w:type="gramStart"/>
      <w:r>
        <w:rPr>
          <w:rFonts w:hint="eastAsia"/>
          <w:sz w:val="20"/>
        </w:rPr>
        <w:t xml:space="preserve">as </w:t>
      </w:r>
      <w:proofErr w:type="gramEnd"/>
      <w:r w:rsidRPr="00E56021">
        <w:rPr>
          <w:rFonts w:hint="eastAsia"/>
          <w:position w:val="-14"/>
          <w:sz w:val="20"/>
        </w:rPr>
        <w:object w:dxaOrig="1413" w:dyaOrig="383">
          <v:shape id="_x0000_i1030" type="#_x0000_t75" style="width:70.25pt;height:19.3pt" o:ole="">
            <v:imagedata r:id="rId20" o:title=""/>
          </v:shape>
          <o:OLEObject Type="Embed" ProgID="Equation.3" ShapeID="_x0000_i1030" DrawAspect="Content" ObjectID="_1627472343" r:id="rId21"/>
        </w:object>
      </w:r>
      <w:r>
        <w:rPr>
          <w:rFonts w:hint="eastAsia"/>
          <w:sz w:val="20"/>
        </w:rPr>
        <w:t>.</w:t>
      </w:r>
    </w:p>
    <w:p w:rsidR="00136DE0" w:rsidRDefault="00A45420">
      <w:pPr>
        <w:numPr>
          <w:ilvl w:val="0"/>
          <w:numId w:val="10"/>
        </w:numPr>
        <w:spacing w:before="120" w:after="120"/>
        <w:rPr>
          <w:sz w:val="20"/>
        </w:rPr>
      </w:pPr>
      <w:r>
        <w:rPr>
          <w:rFonts w:hint="eastAsia"/>
          <w:sz w:val="20"/>
        </w:rPr>
        <w:t xml:space="preserve">So the total number of PSFCH in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w:t>
      </w:r>
      <w:r w:rsidRPr="00E56021">
        <w:rPr>
          <w:rFonts w:hint="eastAsia"/>
          <w:position w:val="-12"/>
          <w:sz w:val="20"/>
        </w:rPr>
        <w:object w:dxaOrig="310" w:dyaOrig="365">
          <v:shape id="_x0000_i1031" type="#_x0000_t75" style="width:15.2pt;height:18.15pt" o:ole="">
            <v:imagedata r:id="rId11" o:title=""/>
          </v:shape>
          <o:OLEObject Type="Embed" ProgID="Equation.3" ShapeID="_x0000_i1031" DrawAspect="Content" ObjectID="_1627472344" r:id="rId22"/>
        </w:object>
      </w:r>
      <w:r>
        <w:rPr>
          <w:rFonts w:hint="eastAsia"/>
          <w:sz w:val="20"/>
        </w:rPr>
        <w:t xml:space="preserve"> should be divided into M subgroup, e.g, PSFCH resources within subchannel i could be divided into M subgroups in frequency domain. These PSFCH subgroups could be ordered in frequency domain as </w:t>
      </w:r>
      <w:r w:rsidRPr="00E56021">
        <w:rPr>
          <w:rFonts w:hint="eastAsia"/>
          <w:position w:val="-14"/>
          <w:sz w:val="20"/>
        </w:rPr>
        <w:object w:dxaOrig="1531" w:dyaOrig="383">
          <v:shape id="_x0000_i1032" type="#_x0000_t75" style="width:76.7pt;height:19.3pt" o:ole="">
            <v:imagedata r:id="rId23" o:title=""/>
          </v:shape>
          <o:OLEObject Type="Embed" ProgID="Equation.3" ShapeID="_x0000_i1032" DrawAspect="Content" ObjectID="_1627472345" r:id="rId24"/>
        </w:object>
      </w:r>
      <w:r>
        <w:rPr>
          <w:rFonts w:hint="eastAsia"/>
          <w:sz w:val="20"/>
        </w:rPr>
        <w:t xml:space="preserve"> </w:t>
      </w:r>
    </w:p>
    <w:p w:rsidR="00136DE0" w:rsidRDefault="00A45420">
      <w:pPr>
        <w:numPr>
          <w:ilvl w:val="0"/>
          <w:numId w:val="10"/>
        </w:numPr>
        <w:spacing w:before="120" w:after="120"/>
        <w:rPr>
          <w:sz w:val="20"/>
        </w:rPr>
      </w:pPr>
      <w:r>
        <w:rPr>
          <w:sz w:val="20"/>
        </w:rPr>
        <w:t>A</w:t>
      </w:r>
      <w:r>
        <w:rPr>
          <w:rFonts w:hint="eastAsia"/>
          <w:sz w:val="20"/>
        </w:rPr>
        <w:t xml:space="preserve"> one-to-one mapping </w:t>
      </w:r>
      <w:r>
        <w:rPr>
          <w:sz w:val="20"/>
        </w:rPr>
        <w:t xml:space="preserve">can be established </w:t>
      </w:r>
      <w:r>
        <w:rPr>
          <w:rFonts w:hint="eastAsia"/>
          <w:sz w:val="20"/>
        </w:rPr>
        <w:t>between the PSFCH subgroups and PSSCH subchannel</w:t>
      </w:r>
      <w:r>
        <w:rPr>
          <w:rFonts w:hint="eastAsia"/>
        </w:rPr>
        <w:t>s</w:t>
      </w:r>
      <w:r>
        <w:rPr>
          <w:rFonts w:hint="eastAsia"/>
          <w:sz w:val="20"/>
        </w:rPr>
        <w:t xml:space="preserve"> in these slots. E.g, the PSFCH resource subgroup of </w:t>
      </w:r>
      <w:proofErr w:type="spellStart"/>
      <w:r>
        <w:rPr>
          <w:rFonts w:hint="eastAsia"/>
          <w:sz w:val="20"/>
        </w:rPr>
        <w:t>subchannel</w:t>
      </w:r>
      <w:proofErr w:type="spellEnd"/>
      <w:r>
        <w:rPr>
          <w:rFonts w:hint="eastAsia"/>
          <w:sz w:val="20"/>
        </w:rPr>
        <w:t xml:space="preserve"> </w:t>
      </w:r>
      <w:r w:rsidRPr="00E56021">
        <w:rPr>
          <w:rFonts w:hint="eastAsia"/>
          <w:position w:val="-14"/>
          <w:sz w:val="20"/>
        </w:rPr>
        <w:object w:dxaOrig="337" w:dyaOrig="383">
          <v:shape id="_x0000_i1033" type="#_x0000_t75" style="width:17pt;height:19.3pt" o:ole="">
            <v:imagedata r:id="rId25" o:title=""/>
          </v:shape>
          <o:OLEObject Type="Embed" ProgID="Equation.3" ShapeID="_x0000_i1033" DrawAspect="Content" ObjectID="_1627472346" r:id="rId26"/>
        </w:object>
      </w:r>
      <w:r>
        <w:rPr>
          <w:rFonts w:hint="eastAsia"/>
          <w:sz w:val="20"/>
        </w:rPr>
        <w:t>is</w:t>
      </w:r>
      <w:r w:rsidRPr="00E56021">
        <w:rPr>
          <w:rFonts w:hint="eastAsia"/>
          <w:position w:val="-14"/>
          <w:sz w:val="20"/>
        </w:rPr>
        <w:object w:dxaOrig="410" w:dyaOrig="383">
          <v:shape id="_x0000_i1034" type="#_x0000_t75" style="width:20.5pt;height:19.3pt" o:ole="">
            <v:imagedata r:id="rId27" o:title=""/>
          </v:shape>
          <o:OLEObject Type="Embed" ProgID="Equation.3" ShapeID="_x0000_i1034" DrawAspect="Content" ObjectID="_1627472347" r:id="rId28"/>
        </w:object>
      </w:r>
      <w:r>
        <w:rPr>
          <w:rFonts w:hint="eastAsia"/>
          <w:sz w:val="20"/>
        </w:rPr>
        <w:t xml:space="preserve">, </w:t>
      </w:r>
      <w:proofErr w:type="gramStart"/>
      <w:r>
        <w:rPr>
          <w:rFonts w:hint="eastAsia"/>
          <w:sz w:val="20"/>
        </w:rPr>
        <w:t xml:space="preserve">here </w:t>
      </w:r>
      <w:proofErr w:type="gramEnd"/>
      <w:r w:rsidRPr="00E56021">
        <w:rPr>
          <w:rFonts w:hint="eastAsia"/>
          <w:position w:val="-10"/>
          <w:sz w:val="20"/>
        </w:rPr>
        <w:object w:dxaOrig="1030" w:dyaOrig="310">
          <v:shape id="_x0000_i1035" type="#_x0000_t75" style="width:51.5pt;height:15.2pt" o:ole="">
            <v:imagedata r:id="rId29" o:title=""/>
          </v:shape>
          <o:OLEObject Type="Embed" ProgID="Equation.3" ShapeID="_x0000_i1035" DrawAspect="Content" ObjectID="_1627472348" r:id="rId30"/>
        </w:object>
      </w:r>
      <w:r>
        <w:rPr>
          <w:rFonts w:hint="eastAsia"/>
          <w:sz w:val="20"/>
        </w:rPr>
        <w:t>.</w:t>
      </w:r>
    </w:p>
    <w:p w:rsidR="00136DE0" w:rsidRDefault="00A45420">
      <w:pPr>
        <w:numPr>
          <w:ilvl w:val="0"/>
          <w:numId w:val="10"/>
        </w:numPr>
        <w:spacing w:before="120" w:after="120"/>
        <w:rPr>
          <w:sz w:val="20"/>
        </w:rPr>
      </w:pPr>
      <w:r>
        <w:rPr>
          <w:rFonts w:hint="eastAsia"/>
          <w:sz w:val="20"/>
        </w:rPr>
        <w:t xml:space="preserve">Apply above mapping rules for each subchannel in the resource pool. And if a PSSCH transmission occupies more than one subchannels, the PSSCH has one associated subgroup of PSFCH resources on each of these subchannels respectively, e.g if a PSSCH occupies subchannel 2 and 3 in slot m, then the associated PSFCH resource subgroups would be </w:t>
      </w:r>
      <w:r w:rsidRPr="00E56021">
        <w:rPr>
          <w:rFonts w:hint="eastAsia"/>
          <w:position w:val="-14"/>
          <w:sz w:val="20"/>
        </w:rPr>
        <w:object w:dxaOrig="419" w:dyaOrig="383">
          <v:shape id="_x0000_i1036" type="#_x0000_t75" style="width:21.05pt;height:19.3pt" o:ole="">
            <v:imagedata r:id="rId31" o:title=""/>
          </v:shape>
          <o:OLEObject Type="Embed" ProgID="Equation.3" ShapeID="_x0000_i1036" DrawAspect="Content" ObjectID="_1627472349" r:id="rId32"/>
        </w:object>
      </w:r>
      <w:r>
        <w:rPr>
          <w:rFonts w:hint="eastAsia"/>
          <w:sz w:val="20"/>
        </w:rPr>
        <w:t xml:space="preserve"> </w:t>
      </w:r>
      <w:proofErr w:type="spellStart"/>
      <w:r>
        <w:rPr>
          <w:rFonts w:hint="eastAsia"/>
          <w:sz w:val="20"/>
        </w:rPr>
        <w:t>and</w:t>
      </w:r>
      <w:proofErr w:type="spellEnd"/>
      <w:r>
        <w:rPr>
          <w:rFonts w:hint="eastAsia"/>
          <w:sz w:val="20"/>
        </w:rPr>
        <w:t xml:space="preserve"> </w:t>
      </w:r>
      <w:r w:rsidRPr="00E56021">
        <w:rPr>
          <w:rFonts w:hint="eastAsia"/>
          <w:position w:val="-14"/>
          <w:sz w:val="20"/>
        </w:rPr>
        <w:object w:dxaOrig="419" w:dyaOrig="383">
          <v:shape id="_x0000_i1037" type="#_x0000_t75" style="width:21.05pt;height:19.3pt" o:ole="">
            <v:imagedata r:id="rId33" o:title=""/>
          </v:shape>
          <o:OLEObject Type="Embed" ProgID="Equation.3" ShapeID="_x0000_i1037" DrawAspect="Content" ObjectID="_1627472350" r:id="rId34"/>
        </w:object>
      </w:r>
      <w:r>
        <w:rPr>
          <w:rFonts w:hint="eastAsia"/>
          <w:sz w:val="20"/>
        </w:rPr>
        <w:t>.</w:t>
      </w:r>
    </w:p>
    <w:p w:rsidR="00136DE0" w:rsidRDefault="00A45420">
      <w:pPr>
        <w:spacing w:before="120" w:after="120"/>
        <w:rPr>
          <w:sz w:val="20"/>
        </w:rPr>
      </w:pPr>
      <w:r>
        <w:t>One</w:t>
      </w:r>
      <w:r>
        <w:rPr>
          <w:rFonts w:hint="eastAsia"/>
        </w:rPr>
        <w:t xml:space="preserve"> example of </w:t>
      </w:r>
      <w:r>
        <w:rPr>
          <w:rFonts w:hint="eastAsia"/>
          <w:sz w:val="20"/>
        </w:rPr>
        <w:t xml:space="preserve">subchannel based PSFCH mapping rules is shown in </w:t>
      </w:r>
      <w:r w:rsidR="00E56021">
        <w:rPr>
          <w:rFonts w:hint="eastAsia"/>
          <w:sz w:val="20"/>
        </w:rPr>
        <w:fldChar w:fldCharType="begin"/>
      </w:r>
      <w:r>
        <w:rPr>
          <w:rFonts w:hint="eastAsia"/>
          <w:sz w:val="20"/>
        </w:rPr>
        <w:instrText xml:space="preserve"> REF _Ref26767 \h </w:instrText>
      </w:r>
      <w:r w:rsidR="00E56021">
        <w:rPr>
          <w:rFonts w:hint="eastAsia"/>
          <w:sz w:val="20"/>
        </w:rPr>
      </w:r>
      <w:r w:rsidR="00E56021">
        <w:rPr>
          <w:rFonts w:hint="eastAsia"/>
          <w:sz w:val="20"/>
        </w:rPr>
        <w:fldChar w:fldCharType="separate"/>
      </w:r>
      <w:r w:rsidR="004A0A7D">
        <w:rPr>
          <w:bCs/>
          <w:sz w:val="20"/>
        </w:rPr>
        <w:t xml:space="preserve">Figure </w:t>
      </w:r>
      <w:r w:rsidR="004A0A7D">
        <w:rPr>
          <w:b/>
          <w:bCs/>
          <w:noProof/>
          <w:sz w:val="20"/>
        </w:rPr>
        <w:t>1</w:t>
      </w:r>
      <w:r w:rsidR="00E56021">
        <w:rPr>
          <w:rFonts w:hint="eastAsia"/>
          <w:sz w:val="20"/>
        </w:rPr>
        <w:fldChar w:fldCharType="end"/>
      </w:r>
      <w:r>
        <w:rPr>
          <w:rFonts w:hint="eastAsia"/>
          <w:sz w:val="20"/>
        </w:rPr>
        <w:t xml:space="preserve">, assuming that there are two </w:t>
      </w:r>
      <w:proofErr w:type="gramStart"/>
      <w:r>
        <w:rPr>
          <w:rFonts w:hint="eastAsia"/>
          <w:sz w:val="20"/>
        </w:rPr>
        <w:t>slots(</w:t>
      </w:r>
      <w:proofErr w:type="gramEnd"/>
      <w:r>
        <w:rPr>
          <w:rFonts w:hint="eastAsia"/>
          <w:sz w:val="20"/>
        </w:rPr>
        <w:t xml:space="preserve">slot n-k-1, slot n-k) will map to the PSFCH slot n. </w:t>
      </w:r>
    </w:p>
    <w:p w:rsidR="00136DE0" w:rsidRDefault="00A45420">
      <w:pPr>
        <w:spacing w:before="120" w:after="120"/>
        <w:jc w:val="center"/>
      </w:pPr>
      <w:r>
        <w:object w:dxaOrig="9114" w:dyaOrig="3327">
          <v:shape id="_x0000_i1038" type="#_x0000_t75" style="width:455.4pt;height:166.25pt" o:ole="">
            <v:imagedata r:id="rId35" o:title=""/>
          </v:shape>
          <o:OLEObject Type="Embed" ProgID="Visio.Drawing.11" ShapeID="_x0000_i1038" DrawAspect="Content" ObjectID="_1627472351" r:id="rId36"/>
        </w:object>
      </w:r>
    </w:p>
    <w:p w:rsidR="00136DE0" w:rsidRDefault="00A45420">
      <w:pPr>
        <w:pStyle w:val="Caption"/>
        <w:jc w:val="center"/>
      </w:pPr>
      <w:bookmarkStart w:id="1" w:name="_Ref26767"/>
      <w:r>
        <w:rPr>
          <w:b w:val="0"/>
          <w:bCs/>
          <w:sz w:val="20"/>
        </w:rPr>
        <w:t xml:space="preserve">Figure </w:t>
      </w:r>
      <w:r w:rsidR="00E56021">
        <w:rPr>
          <w:b w:val="0"/>
          <w:bCs/>
          <w:sz w:val="20"/>
        </w:rPr>
        <w:fldChar w:fldCharType="begin"/>
      </w:r>
      <w:r>
        <w:rPr>
          <w:b w:val="0"/>
          <w:bCs/>
          <w:sz w:val="20"/>
        </w:rPr>
        <w:instrText xml:space="preserve"> SEQ Figure \* ARABIC </w:instrText>
      </w:r>
      <w:r w:rsidR="00E56021">
        <w:rPr>
          <w:b w:val="0"/>
          <w:bCs/>
          <w:sz w:val="20"/>
        </w:rPr>
        <w:fldChar w:fldCharType="separate"/>
      </w:r>
      <w:r w:rsidR="004A0A7D">
        <w:rPr>
          <w:b w:val="0"/>
          <w:bCs/>
          <w:noProof/>
          <w:sz w:val="20"/>
        </w:rPr>
        <w:t>1</w:t>
      </w:r>
      <w:r w:rsidR="00E56021">
        <w:rPr>
          <w:b w:val="0"/>
          <w:bCs/>
          <w:sz w:val="20"/>
        </w:rPr>
        <w:fldChar w:fldCharType="end"/>
      </w:r>
      <w:bookmarkEnd w:id="1"/>
      <w:r>
        <w:rPr>
          <w:rFonts w:hint="eastAsia"/>
          <w:b w:val="0"/>
          <w:bCs/>
          <w:sz w:val="20"/>
        </w:rPr>
        <w:t xml:space="preserve"> an example of </w:t>
      </w:r>
      <w:r>
        <w:rPr>
          <w:rFonts w:hint="eastAsia"/>
          <w:b w:val="0"/>
          <w:sz w:val="20"/>
        </w:rPr>
        <w:t>subchannel based PSFCH mapping</w:t>
      </w:r>
    </w:p>
    <w:p w:rsidR="00136DE0" w:rsidRDefault="00A45420">
      <w:pPr>
        <w:pStyle w:val="YJ-Proposal"/>
        <w:spacing w:before="120" w:after="120"/>
        <w:rPr>
          <w:lang w:val="en-US" w:eastAsia="zh-CN"/>
        </w:rPr>
      </w:pPr>
      <w:bookmarkStart w:id="2" w:name="_Toc28790"/>
      <w:bookmarkStart w:id="3" w:name="_Toc1435"/>
      <w:bookmarkStart w:id="4" w:name="_Toc16859097"/>
      <w:r>
        <w:rPr>
          <w:rFonts w:eastAsia="SimSun" w:hint="eastAsia"/>
          <w:lang w:val="en-US" w:eastAsia="zh-CN"/>
        </w:rPr>
        <w:t>Consider subchannel-based PSSCH-to-PSFCH mapping method</w:t>
      </w:r>
      <w:bookmarkEnd w:id="2"/>
      <w:bookmarkEnd w:id="3"/>
      <w:r>
        <w:rPr>
          <w:rFonts w:eastAsia="SimSun" w:hint="eastAsia"/>
          <w:lang w:val="en-US" w:eastAsia="zh-CN"/>
        </w:rPr>
        <w:t xml:space="preserve"> with the following principle</w:t>
      </w:r>
      <w:r>
        <w:rPr>
          <w:rFonts w:eastAsia="SimSun"/>
          <w:lang w:val="en-US" w:eastAsia="zh-CN"/>
        </w:rPr>
        <w:t>s</w:t>
      </w:r>
      <w:r>
        <w:rPr>
          <w:rFonts w:eastAsia="SimSun" w:hint="eastAsia"/>
          <w:lang w:val="en-US" w:eastAsia="zh-CN"/>
        </w:rPr>
        <w:t>:</w:t>
      </w:r>
      <w:bookmarkEnd w:id="4"/>
    </w:p>
    <w:p w:rsidR="00136DE0" w:rsidRDefault="00A45420">
      <w:pPr>
        <w:pStyle w:val="YJ-Proposal"/>
        <w:numPr>
          <w:ilvl w:val="1"/>
          <w:numId w:val="2"/>
        </w:numPr>
        <w:tabs>
          <w:tab w:val="clear" w:pos="840"/>
        </w:tabs>
        <w:spacing w:before="120" w:after="120"/>
        <w:rPr>
          <w:lang w:val="en-US" w:eastAsia="zh-CN"/>
        </w:rPr>
      </w:pPr>
      <w:bookmarkStart w:id="5" w:name="_Toc16859098"/>
      <w:r>
        <w:rPr>
          <w:rFonts w:hint="eastAsia"/>
          <w:lang w:val="en-US" w:eastAsia="zh-CN"/>
        </w:rPr>
        <w:t>T</w:t>
      </w:r>
      <w:r>
        <w:rPr>
          <w:lang w:val="en-US"/>
        </w:rPr>
        <w:t>he PSFCH</w:t>
      </w:r>
      <w:r>
        <w:rPr>
          <w:rFonts w:eastAsia="SimSun" w:hint="eastAsia"/>
          <w:lang w:val="en-US" w:eastAsia="zh-CN"/>
        </w:rPr>
        <w:t xml:space="preserve"> containing HARQ feedback should be within the </w:t>
      </w:r>
      <w:r>
        <w:rPr>
          <w:rFonts w:hint="eastAsia"/>
          <w:lang w:val="en-US" w:eastAsia="zh-CN"/>
        </w:rPr>
        <w:t>subchannel(s)</w:t>
      </w:r>
      <w:r>
        <w:rPr>
          <w:rFonts w:eastAsia="SimSun" w:hint="eastAsia"/>
          <w:lang w:val="en-US" w:eastAsia="zh-CN"/>
        </w:rPr>
        <w:t xml:space="preserve"> of its associated PSSCH</w:t>
      </w:r>
      <w:bookmarkEnd w:id="5"/>
    </w:p>
    <w:p w:rsidR="00136DE0" w:rsidRDefault="00A45420">
      <w:pPr>
        <w:pStyle w:val="YJ-Proposal"/>
        <w:numPr>
          <w:ilvl w:val="1"/>
          <w:numId w:val="2"/>
        </w:numPr>
        <w:tabs>
          <w:tab w:val="clear" w:pos="840"/>
        </w:tabs>
        <w:spacing w:before="120" w:after="120"/>
        <w:rPr>
          <w:lang w:val="en-US" w:eastAsia="zh-CN"/>
        </w:rPr>
      </w:pPr>
      <w:bookmarkStart w:id="6" w:name="_Toc16859099"/>
      <w:r>
        <w:rPr>
          <w:rFonts w:hint="eastAsia"/>
          <w:lang w:val="en-US" w:eastAsia="zh-CN"/>
        </w:rPr>
        <w:t xml:space="preserve">The </w:t>
      </w:r>
      <w:r>
        <w:rPr>
          <w:rFonts w:hint="eastAsia"/>
        </w:rPr>
        <w:t>PSFCH</w:t>
      </w:r>
      <w:r>
        <w:rPr>
          <w:rFonts w:hint="eastAsia"/>
          <w:lang w:val="en-US" w:eastAsia="zh-CN"/>
        </w:rPr>
        <w:t xml:space="preserve"> resources within a subchannel should be divided into subgroups based on the number of PSSCH slots whose </w:t>
      </w:r>
      <w:r>
        <w:rPr>
          <w:lang w:val="en-US" w:eastAsia="zh-CN"/>
        </w:rPr>
        <w:t xml:space="preserve">corresponding </w:t>
      </w:r>
      <w:r>
        <w:rPr>
          <w:rFonts w:hint="eastAsia"/>
          <w:lang w:val="en-US" w:eastAsia="zh-CN"/>
        </w:rPr>
        <w:t xml:space="preserve">PSFCHs map on these </w:t>
      </w:r>
      <w:r>
        <w:rPr>
          <w:rFonts w:hint="eastAsia"/>
        </w:rPr>
        <w:t>PSFCH</w:t>
      </w:r>
      <w:r>
        <w:rPr>
          <w:rFonts w:hint="eastAsia"/>
          <w:lang w:val="en-US" w:eastAsia="zh-CN"/>
        </w:rPr>
        <w:t xml:space="preserve"> resources.</w:t>
      </w:r>
      <w:bookmarkEnd w:id="6"/>
    </w:p>
    <w:p w:rsidR="00136DE0" w:rsidRDefault="00A45420">
      <w:pPr>
        <w:pStyle w:val="YJ-Proposal"/>
        <w:numPr>
          <w:ilvl w:val="1"/>
          <w:numId w:val="2"/>
        </w:numPr>
        <w:tabs>
          <w:tab w:val="clear" w:pos="840"/>
        </w:tabs>
        <w:spacing w:before="120" w:after="120"/>
        <w:rPr>
          <w:lang w:val="en-US" w:eastAsia="zh-CN"/>
        </w:rPr>
      </w:pPr>
      <w:bookmarkStart w:id="7" w:name="_Toc16859100"/>
      <w:r>
        <w:rPr>
          <w:rFonts w:hint="eastAsia"/>
          <w:lang w:val="en-US" w:eastAsia="zh-CN"/>
        </w:rPr>
        <w:t>M</w:t>
      </w:r>
      <w:r>
        <w:rPr>
          <w:rFonts w:hint="eastAsia"/>
        </w:rPr>
        <w:t>ake a one-to-one mapping between the PSFCH subgroup</w:t>
      </w:r>
      <w:r>
        <w:rPr>
          <w:rFonts w:hint="eastAsia"/>
          <w:lang w:val="en-US" w:eastAsia="zh-CN"/>
        </w:rPr>
        <w:t>s</w:t>
      </w:r>
      <w:r>
        <w:rPr>
          <w:rFonts w:hint="eastAsia"/>
        </w:rPr>
        <w:t xml:space="preserve"> and PSSCH subchannel</w:t>
      </w:r>
      <w:r>
        <w:rPr>
          <w:rFonts w:hint="eastAsia"/>
          <w:lang w:val="en-US" w:eastAsia="zh-CN"/>
        </w:rPr>
        <w:t>s</w:t>
      </w:r>
      <w:r>
        <w:rPr>
          <w:rFonts w:hint="eastAsia"/>
        </w:rPr>
        <w:t xml:space="preserve"> </w:t>
      </w:r>
      <w:r>
        <w:rPr>
          <w:rFonts w:hint="eastAsia"/>
          <w:lang w:val="en-US" w:eastAsia="zh-CN"/>
        </w:rPr>
        <w:t>on</w:t>
      </w:r>
      <w:r>
        <w:rPr>
          <w:rFonts w:hint="eastAsia"/>
        </w:rPr>
        <w:t xml:space="preserve"> </w:t>
      </w:r>
      <w:r>
        <w:rPr>
          <w:rFonts w:hint="eastAsia"/>
          <w:lang w:val="en-US" w:eastAsia="zh-CN"/>
        </w:rPr>
        <w:t xml:space="preserve">the slots whose PSFCHs maps on these </w:t>
      </w:r>
      <w:r>
        <w:rPr>
          <w:rFonts w:hint="eastAsia"/>
        </w:rPr>
        <w:t>PSFCH</w:t>
      </w:r>
      <w:r>
        <w:rPr>
          <w:rFonts w:hint="eastAsia"/>
          <w:lang w:val="en-US" w:eastAsia="zh-CN"/>
        </w:rPr>
        <w:t xml:space="preserve"> resources.</w:t>
      </w:r>
      <w:bookmarkEnd w:id="7"/>
    </w:p>
    <w:p w:rsidR="00136DE0" w:rsidRDefault="00A45420">
      <w:pPr>
        <w:pStyle w:val="Heading2"/>
        <w:spacing w:before="120" w:after="120"/>
        <w:ind w:left="991" w:right="210" w:hangingChars="354" w:hanging="991"/>
      </w:pPr>
      <w:r>
        <w:rPr>
          <w:rFonts w:hint="eastAsia"/>
          <w:szCs w:val="28"/>
        </w:rPr>
        <w:t xml:space="preserve">PSFCH </w:t>
      </w:r>
      <w:r>
        <w:rPr>
          <w:rFonts w:eastAsia="SimSun" w:hint="eastAsia"/>
          <w:szCs w:val="28"/>
        </w:rPr>
        <w:t>Tx/Tx and Tx/Rx collision</w:t>
      </w:r>
    </w:p>
    <w:p w:rsidR="00136DE0" w:rsidRDefault="00A45420">
      <w:pPr>
        <w:spacing w:before="120" w:after="120"/>
        <w:rPr>
          <w:sz w:val="20"/>
        </w:rPr>
      </w:pPr>
      <w:r>
        <w:rPr>
          <w:rFonts w:hint="eastAsia"/>
          <w:sz w:val="20"/>
        </w:rPr>
        <w:t>For Tx/Tx collision in the same symbol(s) but in non-continuous RBs. Non-contiguous resource allocation in the frequency domain is supported in LTE eLAA and NR UL allocation Type 0. However,</w:t>
      </w:r>
      <w:r>
        <w:rPr>
          <w:sz w:val="20"/>
        </w:rPr>
        <w:t xml:space="preserve"> </w:t>
      </w:r>
      <w:r>
        <w:rPr>
          <w:rFonts w:hint="eastAsia"/>
          <w:sz w:val="20"/>
        </w:rPr>
        <w:t xml:space="preserve">this feather can cause inter-modulation distortion (IMD) products located outside of the bandwidth which may violate the emission requirements. So, some additional restrictions are defined at RAN4 for non-contiguous resource allocation, e.g., lager MPR requirement. So </w:t>
      </w:r>
      <w:r>
        <w:rPr>
          <w:sz w:val="20"/>
        </w:rPr>
        <w:t>transmissions of</w:t>
      </w:r>
      <w:r>
        <w:rPr>
          <w:rFonts w:hint="eastAsia"/>
          <w:sz w:val="20"/>
        </w:rPr>
        <w:t xml:space="preserve"> multiple PSFCHs in a symbol could be supported with some restrictions</w:t>
      </w:r>
      <w:r>
        <w:rPr>
          <w:sz w:val="20"/>
        </w:rPr>
        <w:t xml:space="preserve"> </w:t>
      </w:r>
      <w:r>
        <w:rPr>
          <w:rFonts w:hint="eastAsia"/>
          <w:sz w:val="20"/>
        </w:rPr>
        <w:t>(e.g., MPR) which depend on RAN4</w:t>
      </w:r>
      <w:r>
        <w:rPr>
          <w:sz w:val="20"/>
        </w:rPr>
        <w:t>’</w:t>
      </w:r>
      <w:r>
        <w:rPr>
          <w:rFonts w:hint="eastAsia"/>
          <w:sz w:val="20"/>
        </w:rPr>
        <w:t>s decision.</w:t>
      </w:r>
    </w:p>
    <w:p w:rsidR="00136DE0" w:rsidRDefault="00A45420">
      <w:pPr>
        <w:pStyle w:val="YJ-Proposal"/>
        <w:spacing w:before="120" w:after="120"/>
        <w:rPr>
          <w:lang w:val="en-US" w:eastAsia="zh-CN"/>
        </w:rPr>
      </w:pPr>
      <w:bookmarkStart w:id="8" w:name="_Toc16859101"/>
      <w:r>
        <w:rPr>
          <w:lang w:val="en-US"/>
        </w:rPr>
        <w:t>Transmissions of</w:t>
      </w:r>
      <w:r>
        <w:rPr>
          <w:rFonts w:hint="eastAsia"/>
        </w:rPr>
        <w:t xml:space="preserve"> multiple PSFCH</w:t>
      </w:r>
      <w:r>
        <w:rPr>
          <w:rFonts w:hint="eastAsia"/>
          <w:lang w:val="en-US" w:eastAsia="zh-CN"/>
        </w:rPr>
        <w:t>s</w:t>
      </w:r>
      <w:r>
        <w:rPr>
          <w:rFonts w:hint="eastAsia"/>
        </w:rPr>
        <w:t xml:space="preserve"> in a symbol </w:t>
      </w:r>
      <w:r>
        <w:rPr>
          <w:rFonts w:hint="eastAsia"/>
          <w:lang w:val="en-US" w:eastAsia="zh-CN"/>
        </w:rPr>
        <w:t>could be</w:t>
      </w:r>
      <w:r>
        <w:rPr>
          <w:rFonts w:hint="eastAsia"/>
        </w:rPr>
        <w:t xml:space="preserve"> supported </w:t>
      </w:r>
      <w:r>
        <w:rPr>
          <w:rFonts w:hint="eastAsia"/>
          <w:lang w:val="en-US" w:eastAsia="zh-CN"/>
        </w:rPr>
        <w:t xml:space="preserve">with some </w:t>
      </w:r>
      <w:r>
        <w:rPr>
          <w:rFonts w:hint="eastAsia"/>
        </w:rPr>
        <w:t>restrictions</w:t>
      </w:r>
      <w:r>
        <w:t xml:space="preserve"> </w:t>
      </w:r>
      <w:r>
        <w:rPr>
          <w:rFonts w:hint="eastAsia"/>
          <w:lang w:val="en-US" w:eastAsia="zh-CN"/>
        </w:rPr>
        <w:t xml:space="preserve">(e.g., additional MPR) which </w:t>
      </w:r>
      <w:r>
        <w:rPr>
          <w:rFonts w:hint="eastAsia"/>
        </w:rPr>
        <w:t>depend on RAN4</w:t>
      </w:r>
      <w:r>
        <w:t>’</w:t>
      </w:r>
      <w:r>
        <w:rPr>
          <w:rFonts w:hint="eastAsia"/>
        </w:rPr>
        <w:t>s decision</w:t>
      </w:r>
      <w:r>
        <w:rPr>
          <w:rFonts w:hint="eastAsia"/>
          <w:lang w:val="en-US" w:eastAsia="zh-CN"/>
        </w:rPr>
        <w:t>.</w:t>
      </w:r>
      <w:bookmarkEnd w:id="8"/>
    </w:p>
    <w:p w:rsidR="00136DE0" w:rsidRDefault="00A45420">
      <w:pPr>
        <w:spacing w:before="120" w:after="120"/>
        <w:rPr>
          <w:sz w:val="20"/>
        </w:rPr>
      </w:pPr>
      <w:r>
        <w:rPr>
          <w:rFonts w:hint="eastAsia"/>
          <w:sz w:val="20"/>
        </w:rPr>
        <w:t>For Rx/Tx collision, if N slots aggregation is always used when PSFCH period N&gt;1, then it is not a problem for PSFCH Rx/Tx collision. And if PSFCH period N&gt;1, and considering that the N slots aggregation is not always used, PSFCH Rx/Tx collision could be happen, and only one operation would be done due to the limitation of half-duplex. For comparison b/w PSFCH reception and PSFCH transmission, it could be left up to UE implementation or a simple rule could be defined, e.g., PSFCH reception always takes first priority (since PSFCH transmission is bounded with a data reception and PSFCH reception is bounded with a data transmission, in LTE V2X, a data transmission always has higher priority than a data reception)</w:t>
      </w:r>
    </w:p>
    <w:p w:rsidR="00136DE0" w:rsidRDefault="00A45420">
      <w:pPr>
        <w:pStyle w:val="YJ-Proposal"/>
        <w:spacing w:before="120" w:after="120"/>
        <w:rPr>
          <w:lang w:val="en-US" w:eastAsia="zh-CN"/>
        </w:rPr>
      </w:pPr>
      <w:bookmarkStart w:id="9" w:name="_Toc16859102"/>
      <w:r>
        <w:rPr>
          <w:rFonts w:hint="eastAsia"/>
          <w:lang w:val="en-US" w:eastAsia="zh-CN"/>
        </w:rPr>
        <w:t xml:space="preserve">For the solution of PSFCH </w:t>
      </w:r>
      <w:r>
        <w:rPr>
          <w:rFonts w:hint="eastAsia"/>
        </w:rPr>
        <w:t>Tx</w:t>
      </w:r>
      <w:r>
        <w:rPr>
          <w:rFonts w:hint="eastAsia"/>
          <w:lang w:val="en-US" w:eastAsia="zh-CN"/>
        </w:rPr>
        <w:t>/Rx</w:t>
      </w:r>
      <w:r>
        <w:rPr>
          <w:rFonts w:hint="eastAsia"/>
        </w:rPr>
        <w:t xml:space="preserve"> </w:t>
      </w:r>
      <w:r>
        <w:rPr>
          <w:rFonts w:hint="eastAsia"/>
          <w:lang w:val="en-US" w:eastAsia="zh-CN"/>
        </w:rPr>
        <w:t xml:space="preserve">collision issue, down-select </w:t>
      </w:r>
      <w:r>
        <w:rPr>
          <w:lang w:val="en-US" w:eastAsia="zh-CN"/>
        </w:rPr>
        <w:t>from</w:t>
      </w:r>
      <w:r>
        <w:rPr>
          <w:rFonts w:hint="eastAsia"/>
          <w:lang w:val="en-US" w:eastAsia="zh-CN"/>
        </w:rPr>
        <w:t xml:space="preserve"> the following</w:t>
      </w:r>
      <w:bookmarkEnd w:id="9"/>
    </w:p>
    <w:p w:rsidR="00136DE0" w:rsidRDefault="00A45420">
      <w:pPr>
        <w:pStyle w:val="YJ-Proposal"/>
        <w:numPr>
          <w:ilvl w:val="1"/>
          <w:numId w:val="2"/>
        </w:numPr>
        <w:tabs>
          <w:tab w:val="clear" w:pos="840"/>
        </w:tabs>
        <w:spacing w:before="120" w:after="120"/>
        <w:rPr>
          <w:lang w:val="en-US" w:eastAsia="zh-CN"/>
        </w:rPr>
      </w:pPr>
      <w:bookmarkStart w:id="10" w:name="_Toc16859103"/>
      <w:r>
        <w:rPr>
          <w:rFonts w:hint="eastAsia"/>
          <w:lang w:val="en-US" w:eastAsia="zh-CN"/>
        </w:rPr>
        <w:t>Leave to UE implementation</w:t>
      </w:r>
      <w:bookmarkEnd w:id="10"/>
    </w:p>
    <w:p w:rsidR="00136DE0" w:rsidRDefault="00A45420">
      <w:pPr>
        <w:pStyle w:val="YJ-Proposal"/>
        <w:numPr>
          <w:ilvl w:val="1"/>
          <w:numId w:val="2"/>
        </w:numPr>
        <w:tabs>
          <w:tab w:val="clear" w:pos="840"/>
        </w:tabs>
        <w:spacing w:before="120" w:after="120"/>
      </w:pPr>
      <w:bookmarkStart w:id="11" w:name="_Toc16859104"/>
      <w:r>
        <w:rPr>
          <w:rFonts w:hint="eastAsia"/>
          <w:lang w:val="en-US" w:eastAsia="zh-CN"/>
        </w:rPr>
        <w:t>PSFCH reception always takes higher priority</w:t>
      </w:r>
      <w:bookmarkEnd w:id="11"/>
    </w:p>
    <w:p w:rsidR="00136DE0" w:rsidRDefault="00136DE0">
      <w:pPr>
        <w:pStyle w:val="YJ-Proposal"/>
        <w:numPr>
          <w:ilvl w:val="0"/>
          <w:numId w:val="0"/>
        </w:numPr>
        <w:spacing w:before="120" w:after="120"/>
        <w:rPr>
          <w:lang w:val="en-US" w:eastAsia="zh-CN"/>
        </w:rPr>
      </w:pPr>
    </w:p>
    <w:p w:rsidR="00136DE0" w:rsidRDefault="00A45420">
      <w:pPr>
        <w:pStyle w:val="Heading2"/>
        <w:spacing w:before="120" w:after="120"/>
        <w:ind w:left="991" w:right="210" w:hangingChars="354" w:hanging="991"/>
      </w:pPr>
      <w:r>
        <w:rPr>
          <w:rFonts w:hint="eastAsia"/>
        </w:rPr>
        <w:t>HARQ feedback for groupcast</w:t>
      </w:r>
    </w:p>
    <w:p w:rsidR="00136DE0" w:rsidRDefault="00A45420">
      <w:pPr>
        <w:spacing w:before="120" w:after="120"/>
        <w:rPr>
          <w:sz w:val="20"/>
        </w:rPr>
      </w:pPr>
      <w:r>
        <w:rPr>
          <w:rFonts w:hint="eastAsia"/>
          <w:sz w:val="20"/>
        </w:rPr>
        <w:t>If groupcast option 2 is supported, in RAN1</w:t>
      </w:r>
      <w:r>
        <w:rPr>
          <w:sz w:val="20"/>
        </w:rPr>
        <w:t>’</w:t>
      </w:r>
      <w:r>
        <w:rPr>
          <w:rFonts w:hint="eastAsia"/>
          <w:sz w:val="20"/>
        </w:rPr>
        <w:t>s perspective, the following information should be known at physical layer which may impact RAN2</w:t>
      </w:r>
      <w:r>
        <w:rPr>
          <w:sz w:val="20"/>
        </w:rPr>
        <w:t>’</w:t>
      </w:r>
      <w:r>
        <w:rPr>
          <w:rFonts w:hint="eastAsia"/>
          <w:sz w:val="20"/>
        </w:rPr>
        <w:t>s specification.</w:t>
      </w:r>
    </w:p>
    <w:p w:rsidR="00136DE0" w:rsidRDefault="00A45420">
      <w:pPr>
        <w:spacing w:before="120" w:after="120"/>
        <w:rPr>
          <w:sz w:val="20"/>
        </w:rPr>
      </w:pPr>
      <w:r>
        <w:rPr>
          <w:rFonts w:hint="eastAsia"/>
          <w:sz w:val="20"/>
        </w:rPr>
        <w:lastRenderedPageBreak/>
        <w:t>As a groupcast receiver/responder, UE should know its own in-group resource ID to determine the PSFCH resources for A/N transmission.</w:t>
      </w:r>
    </w:p>
    <w:p w:rsidR="00136DE0" w:rsidRDefault="00A45420">
      <w:pPr>
        <w:spacing w:before="120" w:after="120"/>
        <w:rPr>
          <w:sz w:val="20"/>
        </w:rPr>
      </w:pPr>
      <w:r>
        <w:rPr>
          <w:rFonts w:hint="eastAsia"/>
          <w:sz w:val="20"/>
        </w:rPr>
        <w:t>As a groupcast transmitter, UE should know the information of all other group members to determine whether a PSFCH resource would be used by a group member or not. Since for DTX issue, only the DTX on a</w:t>
      </w:r>
      <w:r>
        <w:rPr>
          <w:sz w:val="20"/>
        </w:rPr>
        <w:t>n</w:t>
      </w:r>
      <w:r>
        <w:rPr>
          <w:rFonts w:hint="eastAsia"/>
          <w:sz w:val="20"/>
        </w:rPr>
        <w:t xml:space="preserve"> occupied PSFCH resource would be considered as NACK by the groupcast transmitter.</w:t>
      </w:r>
    </w:p>
    <w:p w:rsidR="00136DE0" w:rsidRDefault="00A45420">
      <w:pPr>
        <w:spacing w:before="120" w:after="120"/>
        <w:rPr>
          <w:sz w:val="20"/>
        </w:rPr>
      </w:pPr>
      <w:r>
        <w:rPr>
          <w:rFonts w:hint="eastAsia"/>
          <w:sz w:val="20"/>
        </w:rPr>
        <w:t>Also for a groupcast transmitter, the members in the group may change due to UE</w:t>
      </w:r>
      <w:r>
        <w:rPr>
          <w:sz w:val="20"/>
        </w:rPr>
        <w:t>’</w:t>
      </w:r>
      <w:r>
        <w:rPr>
          <w:rFonts w:hint="eastAsia"/>
          <w:sz w:val="20"/>
        </w:rPr>
        <w:t>s joining/leaving, so the allocated/occupied UE</w:t>
      </w:r>
      <w:r>
        <w:rPr>
          <w:sz w:val="20"/>
        </w:rPr>
        <w:t>’</w:t>
      </w:r>
      <w:r>
        <w:rPr>
          <w:rFonts w:hint="eastAsia"/>
          <w:sz w:val="20"/>
        </w:rPr>
        <w:t>s in-group resource IDs for PSFCH determination may also change. So it may need a</w:t>
      </w:r>
      <w:r>
        <w:rPr>
          <w:sz w:val="20"/>
        </w:rPr>
        <w:t>n</w:t>
      </w:r>
      <w:r>
        <w:rPr>
          <w:rFonts w:hint="eastAsia"/>
          <w:sz w:val="20"/>
        </w:rPr>
        <w:t xml:space="preserve"> in-group resource ID update procedure. The DTX issue in physical layer during the resource ID update procedure should be also considered. For instance, for UE</w:t>
      </w:r>
      <w:r>
        <w:rPr>
          <w:sz w:val="20"/>
        </w:rPr>
        <w:t>’</w:t>
      </w:r>
      <w:r>
        <w:rPr>
          <w:rFonts w:hint="eastAsia"/>
          <w:sz w:val="20"/>
        </w:rPr>
        <w:t>s joining, the recently-joined UE</w:t>
      </w:r>
      <w:r>
        <w:rPr>
          <w:sz w:val="20"/>
        </w:rPr>
        <w:t>’</w:t>
      </w:r>
      <w:r>
        <w:rPr>
          <w:rFonts w:hint="eastAsia"/>
          <w:sz w:val="20"/>
        </w:rPr>
        <w:t>s A/N may be ignored by the transmitter before the ID update procedure completes. On the other hand, for UE</w:t>
      </w:r>
      <w:r>
        <w:rPr>
          <w:sz w:val="20"/>
        </w:rPr>
        <w:t>’</w:t>
      </w:r>
      <w:r>
        <w:rPr>
          <w:rFonts w:hint="eastAsia"/>
          <w:sz w:val="20"/>
        </w:rPr>
        <w:t>s leaving, the leaving UE</w:t>
      </w:r>
      <w:r>
        <w:rPr>
          <w:sz w:val="20"/>
        </w:rPr>
        <w:t>’</w:t>
      </w:r>
      <w:r>
        <w:rPr>
          <w:rFonts w:hint="eastAsia"/>
          <w:sz w:val="20"/>
        </w:rPr>
        <w:t>s DTX may be considered as a NACK by the transmitter before the ID update procedure completed.</w:t>
      </w:r>
    </w:p>
    <w:p w:rsidR="00136DE0" w:rsidRDefault="00A45420">
      <w:pPr>
        <w:pStyle w:val="YJ-Proposal"/>
        <w:spacing w:before="120" w:after="120"/>
        <w:rPr>
          <w:lang w:val="en-US" w:eastAsia="zh-CN"/>
        </w:rPr>
      </w:pPr>
      <w:bookmarkStart w:id="12" w:name="_Toc16859105"/>
      <w:r>
        <w:rPr>
          <w:rFonts w:hint="eastAsia"/>
          <w:lang w:val="en-US" w:eastAsia="zh-CN"/>
        </w:rPr>
        <w:t>From RAN1 perspective, the following should be considered for group management supporting A/N feedback option 2.</w:t>
      </w:r>
      <w:bookmarkEnd w:id="12"/>
    </w:p>
    <w:p w:rsidR="00136DE0" w:rsidRDefault="00A45420">
      <w:pPr>
        <w:pStyle w:val="YJ-Proposal"/>
        <w:numPr>
          <w:ilvl w:val="1"/>
          <w:numId w:val="2"/>
        </w:numPr>
        <w:tabs>
          <w:tab w:val="clear" w:pos="840"/>
        </w:tabs>
        <w:spacing w:before="120" w:after="120"/>
        <w:rPr>
          <w:lang w:val="en-US" w:eastAsia="zh-CN"/>
        </w:rPr>
      </w:pPr>
      <w:bookmarkStart w:id="13" w:name="_Toc16859106"/>
      <w:r>
        <w:rPr>
          <w:rFonts w:hint="eastAsia"/>
          <w:lang w:val="en-US" w:eastAsia="zh-CN"/>
        </w:rPr>
        <w:t>As a groupcast receiver/responder, UE should know its own PSFCH resource ID to determine the PSFCH resources for A/N transmission</w:t>
      </w:r>
      <w:bookmarkEnd w:id="13"/>
    </w:p>
    <w:p w:rsidR="00136DE0" w:rsidRDefault="00A45420">
      <w:pPr>
        <w:pStyle w:val="YJ-Proposal"/>
        <w:numPr>
          <w:ilvl w:val="1"/>
          <w:numId w:val="2"/>
        </w:numPr>
        <w:tabs>
          <w:tab w:val="clear" w:pos="840"/>
        </w:tabs>
        <w:spacing w:before="120" w:after="120"/>
        <w:rPr>
          <w:lang w:val="en-US" w:eastAsia="zh-CN"/>
        </w:rPr>
      </w:pPr>
      <w:bookmarkStart w:id="14" w:name="_Toc16859107"/>
      <w:r>
        <w:rPr>
          <w:rFonts w:hint="eastAsia"/>
          <w:lang w:val="en-US" w:eastAsia="zh-CN"/>
        </w:rPr>
        <w:t>As a groupcast transmitter, UE should know all other in-group UEs occupied PSFCH resources to avoid DTX issue</w:t>
      </w:r>
      <w:bookmarkEnd w:id="14"/>
    </w:p>
    <w:p w:rsidR="00136DE0" w:rsidRDefault="00A45420">
      <w:pPr>
        <w:pStyle w:val="YJ-Proposal"/>
        <w:numPr>
          <w:ilvl w:val="1"/>
          <w:numId w:val="2"/>
        </w:numPr>
        <w:tabs>
          <w:tab w:val="clear" w:pos="840"/>
        </w:tabs>
        <w:spacing w:before="120" w:after="120"/>
        <w:rPr>
          <w:lang w:val="en-US" w:eastAsia="zh-CN"/>
        </w:rPr>
      </w:pPr>
      <w:bookmarkStart w:id="15" w:name="_Toc16859108"/>
      <w:r>
        <w:rPr>
          <w:rFonts w:hint="eastAsia"/>
          <w:lang w:val="en-US" w:eastAsia="zh-CN"/>
        </w:rPr>
        <w:t xml:space="preserve">PSFCH resource ID update procedure is needed </w:t>
      </w:r>
      <w:r>
        <w:rPr>
          <w:lang w:val="en-US" w:eastAsia="zh-CN"/>
        </w:rPr>
        <w:t xml:space="preserve">to account </w:t>
      </w:r>
      <w:r>
        <w:rPr>
          <w:rFonts w:hint="eastAsia"/>
        </w:rPr>
        <w:t>UE</w:t>
      </w:r>
      <w:r>
        <w:t>’</w:t>
      </w:r>
      <w:r>
        <w:rPr>
          <w:rFonts w:hint="eastAsia"/>
        </w:rPr>
        <w:t>s joining/leaving,</w:t>
      </w:r>
      <w:r>
        <w:rPr>
          <w:rFonts w:hint="eastAsia"/>
          <w:lang w:val="en-US" w:eastAsia="zh-CN"/>
        </w:rPr>
        <w:t xml:space="preserve"> and the DTX issue during the ID update procedure should be considered.</w:t>
      </w:r>
      <w:bookmarkEnd w:id="15"/>
    </w:p>
    <w:p w:rsidR="00136DE0" w:rsidRDefault="00A45420">
      <w:pPr>
        <w:spacing w:before="120" w:after="120"/>
        <w:rPr>
          <w:sz w:val="20"/>
        </w:rPr>
      </w:pPr>
      <w:r>
        <w:rPr>
          <w:rFonts w:hint="eastAsia"/>
          <w:sz w:val="20"/>
        </w:rPr>
        <w:t>When option 1 is used for groupcast transmission, it is supported that all the receiver UEs share a same PSFCH, i.e., one to one mapping between PSSCH/PSCCH resource and its associated PSFCH resource is supported for groupcast which is similar to SL unicast transmission. To reduce the normative effort, it is expected that the same PSFCH resource mapping rule should be used for unicast and groupcast option 1. And for the remaining FFS for option 1, e.g., whether a subset of the receiver UEs share a PSFCH could be supported, from our point of view, the benefit and scenario to introduce this kind of subset/subgroup are not clear but with a lot of normative work. For instance, a new PSFCH resource mapping rule other than the rule for unicast transmission is needed if the group is divided to several subsets and each subset of receiver UEs share a PSFCH. And it is also not clear how to form these subsets of UEs of a groupcast transmission.</w:t>
      </w:r>
    </w:p>
    <w:p w:rsidR="00136DE0" w:rsidRDefault="00A45420">
      <w:pPr>
        <w:pStyle w:val="YJ-Proposal"/>
        <w:spacing w:before="120" w:after="120"/>
        <w:rPr>
          <w:lang w:val="en-US" w:eastAsia="zh-CN"/>
        </w:rPr>
      </w:pPr>
      <w:bookmarkStart w:id="16" w:name="_Toc16859109"/>
      <w:r>
        <w:rPr>
          <w:rFonts w:hint="eastAsia"/>
          <w:lang w:val="en-US" w:eastAsia="zh-CN"/>
        </w:rPr>
        <w:t xml:space="preserve">For NACK-only feedback in groupcast, </w:t>
      </w:r>
      <w:r>
        <w:rPr>
          <w:lang w:val="en-US" w:eastAsia="zh-CN"/>
        </w:rPr>
        <w:t xml:space="preserve">Rel-16 </w:t>
      </w:r>
      <w:r>
        <w:rPr>
          <w:rFonts w:hint="eastAsia"/>
          <w:lang w:val="en-US" w:eastAsia="zh-CN"/>
        </w:rPr>
        <w:t xml:space="preserve">only </w:t>
      </w:r>
      <w:r>
        <w:rPr>
          <w:lang w:val="en-US" w:eastAsia="zh-CN"/>
        </w:rPr>
        <w:t xml:space="preserve">supports the case where </w:t>
      </w:r>
      <w:r>
        <w:rPr>
          <w:rFonts w:hint="eastAsia"/>
          <w:lang w:val="en-US" w:eastAsia="zh-CN"/>
        </w:rPr>
        <w:t xml:space="preserve">all the receiver UEs </w:t>
      </w:r>
      <w:r>
        <w:rPr>
          <w:lang w:val="en-US" w:eastAsia="zh-CN"/>
        </w:rPr>
        <w:t xml:space="preserve">in the group </w:t>
      </w:r>
      <w:r>
        <w:rPr>
          <w:rFonts w:hint="eastAsia"/>
          <w:lang w:val="en-US" w:eastAsia="zh-CN"/>
        </w:rPr>
        <w:t>share a PSFCH resource</w:t>
      </w:r>
      <w:r>
        <w:rPr>
          <w:lang w:val="en-US" w:eastAsia="zh-CN"/>
        </w:rPr>
        <w:t xml:space="preserve">, with the same </w:t>
      </w:r>
      <w:r>
        <w:rPr>
          <w:rFonts w:hint="eastAsia"/>
          <w:lang w:val="en-US" w:eastAsia="zh-CN"/>
        </w:rPr>
        <w:t>PSSCH/PSCCH</w:t>
      </w:r>
      <w:r>
        <w:rPr>
          <w:lang w:val="en-US" w:eastAsia="zh-CN"/>
        </w:rPr>
        <w:t>-to-PSFCH</w:t>
      </w:r>
      <w:r>
        <w:rPr>
          <w:rFonts w:hint="eastAsia"/>
          <w:lang w:val="en-US" w:eastAsia="zh-CN"/>
        </w:rPr>
        <w:t xml:space="preserve"> mapping rule </w:t>
      </w:r>
      <w:r>
        <w:rPr>
          <w:lang w:val="en-US" w:eastAsia="zh-CN"/>
        </w:rPr>
        <w:t>as</w:t>
      </w:r>
      <w:r>
        <w:rPr>
          <w:rFonts w:hint="eastAsia"/>
          <w:lang w:val="en-US" w:eastAsia="zh-CN"/>
        </w:rPr>
        <w:t xml:space="preserve"> for unicast.</w:t>
      </w:r>
      <w:bookmarkEnd w:id="16"/>
    </w:p>
    <w:p w:rsidR="00136DE0" w:rsidRDefault="00A45420">
      <w:pPr>
        <w:spacing w:before="120" w:after="120"/>
        <w:rPr>
          <w:sz w:val="20"/>
        </w:rPr>
      </w:pPr>
      <w:r>
        <w:rPr>
          <w:rFonts w:hint="eastAsia"/>
          <w:sz w:val="20"/>
        </w:rPr>
        <w:t>One of the remaining FFS of</w:t>
      </w:r>
      <w:r>
        <w:rPr>
          <w:sz w:val="20"/>
        </w:rPr>
        <w:t xml:space="preserve"> option </w:t>
      </w:r>
      <w:r>
        <w:rPr>
          <w:rFonts w:hint="eastAsia"/>
          <w:sz w:val="20"/>
        </w:rPr>
        <w:t>2</w:t>
      </w:r>
      <w:r>
        <w:rPr>
          <w:sz w:val="20"/>
        </w:rPr>
        <w:t xml:space="preserve"> </w:t>
      </w:r>
      <w:r>
        <w:rPr>
          <w:rFonts w:hint="eastAsia"/>
          <w:sz w:val="20"/>
        </w:rPr>
        <w:t>is that whether</w:t>
      </w:r>
      <w:r>
        <w:rPr>
          <w:sz w:val="20"/>
        </w:rPr>
        <w:t xml:space="preserve"> all or a subset of receiver UEs share a PSFCH for ACK transmission and another PSFCH for NACK transmission</w:t>
      </w:r>
      <w:r>
        <w:rPr>
          <w:rFonts w:hint="eastAsia"/>
          <w:sz w:val="20"/>
        </w:rPr>
        <w:t xml:space="preserve"> is supported. This kind of mechanism is more like option 1, and its performance is also expected to be similar as option 1 since it only resolves the DTX issue for the scenario when all the receiver UEs can</w:t>
      </w:r>
      <w:r>
        <w:rPr>
          <w:sz w:val="20"/>
        </w:rPr>
        <w:t>’</w:t>
      </w:r>
      <w:r>
        <w:rPr>
          <w:rFonts w:hint="eastAsia"/>
          <w:sz w:val="20"/>
        </w:rPr>
        <w:t xml:space="preserve">t decode the SCI of the groupcast transmission. So this kind of mechanism is not necessary as option 1 has been supported. In our view, </w:t>
      </w:r>
      <w:r>
        <w:rPr>
          <w:sz w:val="20"/>
        </w:rPr>
        <w:t>a</w:t>
      </w:r>
      <w:r>
        <w:rPr>
          <w:rFonts w:hint="eastAsia"/>
          <w:sz w:val="20"/>
        </w:rPr>
        <w:t xml:space="preserve">lthough </w:t>
      </w:r>
      <w:r>
        <w:rPr>
          <w:sz w:val="20"/>
        </w:rPr>
        <w:t>option 2</w:t>
      </w:r>
      <w:r>
        <w:rPr>
          <w:rFonts w:hint="eastAsia"/>
          <w:sz w:val="20"/>
        </w:rPr>
        <w:t xml:space="preserve"> is more robust </w:t>
      </w:r>
      <w:r>
        <w:rPr>
          <w:sz w:val="20"/>
        </w:rPr>
        <w:t>in</w:t>
      </w:r>
      <w:r>
        <w:rPr>
          <w:rFonts w:hint="eastAsia"/>
          <w:sz w:val="20"/>
        </w:rPr>
        <w:t xml:space="preserve"> allocat</w:t>
      </w:r>
      <w:r>
        <w:rPr>
          <w:sz w:val="20"/>
        </w:rPr>
        <w:t>ing</w:t>
      </w:r>
      <w:r>
        <w:rPr>
          <w:rFonts w:hint="eastAsia"/>
          <w:sz w:val="20"/>
        </w:rPr>
        <w:t xml:space="preserve"> the PSFCH resources </w:t>
      </w:r>
      <w:r>
        <w:rPr>
          <w:sz w:val="20"/>
        </w:rPr>
        <w:t>for</w:t>
      </w:r>
      <w:r>
        <w:rPr>
          <w:rFonts w:hint="eastAsia"/>
          <w:sz w:val="20"/>
        </w:rPr>
        <w:t xml:space="preserve"> each receiver</w:t>
      </w:r>
      <w:r>
        <w:rPr>
          <w:sz w:val="20"/>
        </w:rPr>
        <w:t xml:space="preserve"> UE</w:t>
      </w:r>
      <w:r>
        <w:rPr>
          <w:rFonts w:hint="eastAsia"/>
          <w:sz w:val="20"/>
        </w:rPr>
        <w:t xml:space="preserve">, </w:t>
      </w:r>
      <w:r>
        <w:rPr>
          <w:sz w:val="20"/>
        </w:rPr>
        <w:t>it</w:t>
      </w:r>
      <w:r>
        <w:rPr>
          <w:rFonts w:hint="eastAsia"/>
          <w:sz w:val="20"/>
        </w:rPr>
        <w:t xml:space="preserve"> has more overhead than the option that</w:t>
      </w:r>
      <w:r>
        <w:rPr>
          <w:sz w:val="20"/>
        </w:rPr>
        <w:t xml:space="preserve"> multiple receiver UEs transmit HARQ-NACK on the same resource</w:t>
      </w:r>
      <w:r>
        <w:rPr>
          <w:rFonts w:hint="eastAsia"/>
          <w:sz w:val="20"/>
        </w:rPr>
        <w:t xml:space="preserve">. And it is still FFS on which entity and how to allocate dedicated PSFCH resources for each receiver, </w:t>
      </w:r>
      <w:r>
        <w:rPr>
          <w:sz w:val="20"/>
        </w:rPr>
        <w:t>which</w:t>
      </w:r>
      <w:r>
        <w:rPr>
          <w:rFonts w:hint="eastAsia"/>
          <w:sz w:val="20"/>
        </w:rPr>
        <w:t xml:space="preserve"> may require special design in the SL grant DCI format and SCI format</w:t>
      </w:r>
      <w:r>
        <w:rPr>
          <w:sz w:val="20"/>
        </w:rPr>
        <w:t>.</w:t>
      </w:r>
    </w:p>
    <w:p w:rsidR="00136DE0" w:rsidRDefault="00A45420">
      <w:pPr>
        <w:pStyle w:val="YJ-Proposal"/>
        <w:spacing w:before="120" w:after="120"/>
        <w:rPr>
          <w:lang w:val="en-US" w:eastAsia="zh-CN"/>
        </w:rPr>
      </w:pPr>
      <w:bookmarkStart w:id="17" w:name="_Toc7691"/>
      <w:bookmarkStart w:id="18" w:name="_Toc12296"/>
      <w:bookmarkStart w:id="19" w:name="_Toc16859110"/>
      <w:r>
        <w:rPr>
          <w:rFonts w:eastAsia="SimSun" w:hint="eastAsia"/>
          <w:lang w:val="en-US" w:eastAsia="zh-CN"/>
        </w:rPr>
        <w:t xml:space="preserve">For </w:t>
      </w:r>
      <w:r>
        <w:rPr>
          <w:rFonts w:eastAsia="SimSun"/>
          <w:lang w:val="en-US" w:eastAsia="zh-CN"/>
        </w:rPr>
        <w:t xml:space="preserve">groupcast A/N feedback </w:t>
      </w:r>
      <w:r>
        <w:rPr>
          <w:rFonts w:eastAsia="SimSun" w:hint="eastAsia"/>
          <w:lang w:val="en-US" w:eastAsia="zh-CN"/>
        </w:rPr>
        <w:t xml:space="preserve">option 2, </w:t>
      </w:r>
      <w:r>
        <w:rPr>
          <w:rFonts w:eastAsia="SimSun"/>
          <w:lang w:val="en-US" w:eastAsia="zh-CN"/>
        </w:rPr>
        <w:t xml:space="preserve">it is not supported in Rel-16 that </w:t>
      </w:r>
      <w:r>
        <w:rPr>
          <w:rFonts w:eastAsia="SimSun" w:hint="eastAsia"/>
          <w:lang w:val="en-US" w:eastAsia="zh-CN"/>
        </w:rPr>
        <w:t xml:space="preserve">all or a subset of receiver UEs share a PSFCH for ACK transmission and another PSFCH for NACK </w:t>
      </w:r>
      <w:r>
        <w:rPr>
          <w:rFonts w:hint="eastAsia"/>
          <w:szCs w:val="22"/>
          <w:lang w:val="en-US" w:eastAsia="zh-CN"/>
        </w:rPr>
        <w:t>transmission</w:t>
      </w:r>
      <w:r>
        <w:rPr>
          <w:rFonts w:eastAsia="SimSun" w:hint="eastAsia"/>
          <w:lang w:val="en-US" w:eastAsia="zh-CN"/>
        </w:rPr>
        <w:t>.</w:t>
      </w:r>
      <w:bookmarkEnd w:id="17"/>
      <w:bookmarkEnd w:id="18"/>
      <w:bookmarkEnd w:id="19"/>
    </w:p>
    <w:p w:rsidR="00136DE0" w:rsidRDefault="00A45420">
      <w:pPr>
        <w:spacing w:before="120" w:after="120"/>
        <w:rPr>
          <w:sz w:val="20"/>
        </w:rPr>
      </w:pPr>
      <w:r>
        <w:rPr>
          <w:rFonts w:hint="eastAsia"/>
          <w:sz w:val="20"/>
        </w:rPr>
        <w:t xml:space="preserve">Another remaining </w:t>
      </w:r>
      <w:r>
        <w:rPr>
          <w:sz w:val="20"/>
        </w:rPr>
        <w:t xml:space="preserve">FFS </w:t>
      </w:r>
      <w:r>
        <w:rPr>
          <w:rFonts w:hint="eastAsia"/>
          <w:sz w:val="20"/>
        </w:rPr>
        <w:t xml:space="preserve">for groupcast HARQ is </w:t>
      </w:r>
      <w:r>
        <w:rPr>
          <w:sz w:val="20"/>
        </w:rPr>
        <w:t>whether or not to additionally support a mixture of option 1 and option 2 for a groupcast transmission</w:t>
      </w:r>
      <w:r>
        <w:rPr>
          <w:rFonts w:hint="eastAsia"/>
          <w:sz w:val="20"/>
        </w:rPr>
        <w:t xml:space="preserve">. From our point of view, the motivation to support a mixture of option 1 and option 2 is not clear, and the benefit is also not justified. </w:t>
      </w:r>
      <w:r>
        <w:rPr>
          <w:sz w:val="20"/>
        </w:rPr>
        <w:t>So</w:t>
      </w:r>
      <w:r>
        <w:rPr>
          <w:rFonts w:hint="eastAsia"/>
          <w:sz w:val="20"/>
        </w:rPr>
        <w:t xml:space="preserve"> we proposal either option 1 or option 2 is used for a groupcast transmission if both option 1 and option were specified.</w:t>
      </w:r>
    </w:p>
    <w:p w:rsidR="00136DE0" w:rsidRDefault="00A45420">
      <w:pPr>
        <w:pStyle w:val="YJ-Proposal"/>
        <w:spacing w:before="120" w:after="120"/>
        <w:rPr>
          <w:lang w:val="en-US" w:eastAsia="zh-CN"/>
        </w:rPr>
      </w:pPr>
      <w:bookmarkStart w:id="20" w:name="_Toc16859111"/>
      <w:r>
        <w:rPr>
          <w:lang w:val="en-US" w:eastAsia="zh-CN"/>
        </w:rPr>
        <w:t>If both feedback options are specified for groupcast, the mixture of two options for the group is not supported.</w:t>
      </w:r>
      <w:bookmarkEnd w:id="20"/>
      <w:r>
        <w:rPr>
          <w:lang w:val="en-US" w:eastAsia="zh-CN"/>
        </w:rPr>
        <w:t xml:space="preserve"> </w:t>
      </w:r>
    </w:p>
    <w:p w:rsidR="00136DE0" w:rsidRDefault="00A45420">
      <w:pPr>
        <w:snapToGrid w:val="0"/>
        <w:spacing w:before="120" w:after="120"/>
        <w:rPr>
          <w:sz w:val="20"/>
        </w:rPr>
      </w:pPr>
      <w:r>
        <w:rPr>
          <w:rFonts w:hint="eastAsia"/>
          <w:sz w:val="20"/>
        </w:rPr>
        <w:lastRenderedPageBreak/>
        <w:t xml:space="preserve">Last meeting </w:t>
      </w:r>
      <w:r>
        <w:rPr>
          <w:sz w:val="20"/>
        </w:rPr>
        <w:t>concludes to support</w:t>
      </w:r>
      <w:r>
        <w:rPr>
          <w:rFonts w:hint="eastAsia"/>
          <w:sz w:val="20"/>
        </w:rPr>
        <w:t xml:space="preserve"> </w:t>
      </w:r>
      <w:r>
        <w:rPr>
          <w:sz w:val="20"/>
        </w:rPr>
        <w:t xml:space="preserve">the </w:t>
      </w:r>
      <w:r>
        <w:rPr>
          <w:rFonts w:hint="eastAsia"/>
          <w:sz w:val="20"/>
        </w:rPr>
        <w:t xml:space="preserve">Tx-Rx distance based SL HARQ feedback for groupcast. As the outcome of the SI, this feature could be disabled/enabled. From our point of view, </w:t>
      </w:r>
      <w:r>
        <w:rPr>
          <w:sz w:val="20"/>
        </w:rPr>
        <w:t>in the</w:t>
      </w:r>
      <w:r>
        <w:rPr>
          <w:rFonts w:hint="eastAsia"/>
          <w:sz w:val="20"/>
        </w:rPr>
        <w:t xml:space="preserve"> scenarios </w:t>
      </w:r>
      <w:r>
        <w:rPr>
          <w:sz w:val="20"/>
        </w:rPr>
        <w:t>where</w:t>
      </w:r>
      <w:r>
        <w:rPr>
          <w:rFonts w:hint="eastAsia"/>
          <w:sz w:val="20"/>
        </w:rPr>
        <w:t xml:space="preserve"> </w:t>
      </w:r>
      <w:r>
        <w:rPr>
          <w:sz w:val="20"/>
        </w:rPr>
        <w:t>application</w:t>
      </w:r>
      <w:r>
        <w:rPr>
          <w:rFonts w:hint="eastAsia"/>
          <w:sz w:val="20"/>
        </w:rPr>
        <w:t xml:space="preserve"> layer</w:t>
      </w:r>
      <w:r>
        <w:rPr>
          <w:sz w:val="20"/>
        </w:rPr>
        <w:t xml:space="preserve"> forms </w:t>
      </w:r>
      <w:r>
        <w:rPr>
          <w:rFonts w:hint="eastAsia"/>
          <w:sz w:val="20"/>
        </w:rPr>
        <w:t>a</w:t>
      </w:r>
      <w:r>
        <w:rPr>
          <w:sz w:val="20"/>
        </w:rPr>
        <w:t xml:space="preserve"> group</w:t>
      </w:r>
      <w:r>
        <w:rPr>
          <w:rFonts w:hint="eastAsia"/>
          <w:sz w:val="20"/>
        </w:rPr>
        <w:t xml:space="preserve">, e.g., platooning, Tx-Rx distance/RSRP based SL HARQ feedback for groupcast is neither necessary nor intended and should be disabled for these scenarios. </w:t>
      </w:r>
    </w:p>
    <w:p w:rsidR="00136DE0" w:rsidRDefault="00A45420">
      <w:pPr>
        <w:pStyle w:val="ListParagraph"/>
        <w:numPr>
          <w:ilvl w:val="0"/>
          <w:numId w:val="11"/>
        </w:numPr>
        <w:snapToGrid w:val="0"/>
        <w:spacing w:before="120" w:after="120"/>
        <w:rPr>
          <w:sz w:val="20"/>
          <w:szCs w:val="20"/>
        </w:rPr>
      </w:pPr>
      <w:r>
        <w:rPr>
          <w:sz w:val="20"/>
          <w:szCs w:val="20"/>
        </w:rPr>
        <w:t>Given the fact that the UE is able to establish</w:t>
      </w:r>
      <w:r>
        <w:rPr>
          <w:rFonts w:hint="eastAsia"/>
          <w:sz w:val="20"/>
          <w:szCs w:val="20"/>
        </w:rPr>
        <w:t xml:space="preserve"> </w:t>
      </w:r>
      <w:r>
        <w:rPr>
          <w:sz w:val="20"/>
          <w:szCs w:val="20"/>
        </w:rPr>
        <w:t>groupcast session</w:t>
      </w:r>
      <w:r>
        <w:rPr>
          <w:rFonts w:hint="eastAsia"/>
          <w:sz w:val="20"/>
          <w:szCs w:val="20"/>
        </w:rPr>
        <w:t xml:space="preserve"> with other group members</w:t>
      </w:r>
      <w:r>
        <w:rPr>
          <w:sz w:val="20"/>
          <w:szCs w:val="20"/>
        </w:rPr>
        <w:t xml:space="preserve"> </w:t>
      </w:r>
      <w:r>
        <w:rPr>
          <w:rFonts w:hint="eastAsia"/>
          <w:sz w:val="20"/>
          <w:szCs w:val="20"/>
        </w:rPr>
        <w:t xml:space="preserve">at application layer for platooning, </w:t>
      </w:r>
      <w:r>
        <w:rPr>
          <w:sz w:val="20"/>
          <w:szCs w:val="20"/>
        </w:rPr>
        <w:t xml:space="preserve">it is a bit strange to set up </w:t>
      </w:r>
      <w:r>
        <w:rPr>
          <w:rFonts w:hint="eastAsia"/>
          <w:sz w:val="20"/>
          <w:szCs w:val="20"/>
        </w:rPr>
        <w:t xml:space="preserve">distance/RSRP based </w:t>
      </w:r>
      <w:r>
        <w:rPr>
          <w:sz w:val="20"/>
          <w:szCs w:val="20"/>
        </w:rPr>
        <w:t xml:space="preserve">control upon </w:t>
      </w:r>
      <w:r>
        <w:rPr>
          <w:rFonts w:hint="eastAsia"/>
          <w:sz w:val="20"/>
          <w:szCs w:val="20"/>
        </w:rPr>
        <w:t xml:space="preserve">SL HARQ feedback </w:t>
      </w:r>
      <w:r>
        <w:rPr>
          <w:sz w:val="20"/>
          <w:szCs w:val="20"/>
        </w:rPr>
        <w:t xml:space="preserve">which eventually does not guarantee the communication reliability between UEs. This </w:t>
      </w:r>
      <w:r>
        <w:rPr>
          <w:rFonts w:hint="eastAsia"/>
          <w:sz w:val="20"/>
          <w:szCs w:val="20"/>
        </w:rPr>
        <w:t>is not an intended behavior</w:t>
      </w:r>
      <w:r>
        <w:rPr>
          <w:sz w:val="20"/>
          <w:szCs w:val="20"/>
        </w:rPr>
        <w:t xml:space="preserve"> in certain scenarios</w:t>
      </w:r>
      <w:r>
        <w:rPr>
          <w:rFonts w:hint="eastAsia"/>
          <w:sz w:val="20"/>
          <w:szCs w:val="20"/>
        </w:rPr>
        <w:t xml:space="preserve">. </w:t>
      </w:r>
    </w:p>
    <w:p w:rsidR="00136DE0" w:rsidRDefault="00A45420">
      <w:pPr>
        <w:pStyle w:val="ListParagraph"/>
        <w:numPr>
          <w:ilvl w:val="0"/>
          <w:numId w:val="11"/>
        </w:numPr>
        <w:snapToGrid w:val="0"/>
        <w:spacing w:before="120" w:after="120"/>
        <w:rPr>
          <w:sz w:val="20"/>
          <w:szCs w:val="20"/>
        </w:rPr>
      </w:pPr>
      <w:r>
        <w:rPr>
          <w:sz w:val="20"/>
          <w:szCs w:val="20"/>
        </w:rPr>
        <w:t xml:space="preserve">The </w:t>
      </w:r>
      <w:r>
        <w:rPr>
          <w:rFonts w:hint="eastAsia"/>
          <w:sz w:val="20"/>
          <w:szCs w:val="20"/>
        </w:rPr>
        <w:t xml:space="preserve">communication range could be considered in application layer during forming a platoon group, i.e., only UEs within a range could form a platoon. </w:t>
      </w:r>
      <w:r>
        <w:rPr>
          <w:sz w:val="20"/>
          <w:szCs w:val="20"/>
        </w:rPr>
        <w:t>F</w:t>
      </w:r>
      <w:r>
        <w:rPr>
          <w:rFonts w:hint="eastAsia"/>
          <w:sz w:val="20"/>
          <w:szCs w:val="20"/>
        </w:rPr>
        <w:t xml:space="preserve">rom AS layer point of view, the requirement of communication range could be considered at the </w:t>
      </w:r>
      <w:r>
        <w:rPr>
          <w:sz w:val="20"/>
          <w:szCs w:val="20"/>
        </w:rPr>
        <w:t>transmitter</w:t>
      </w:r>
      <w:r>
        <w:rPr>
          <w:rFonts w:hint="eastAsia"/>
          <w:sz w:val="20"/>
          <w:szCs w:val="20"/>
        </w:rPr>
        <w:t xml:space="preserve"> side instead of the receiver side</w:t>
      </w:r>
      <w:r>
        <w:rPr>
          <w:sz w:val="20"/>
          <w:szCs w:val="20"/>
        </w:rPr>
        <w:t>,</w:t>
      </w:r>
      <w:r>
        <w:rPr>
          <w:rFonts w:hint="eastAsia"/>
          <w:sz w:val="20"/>
          <w:szCs w:val="20"/>
        </w:rPr>
        <w:t xml:space="preserve"> </w:t>
      </w:r>
      <w:r>
        <w:rPr>
          <w:sz w:val="20"/>
          <w:szCs w:val="20"/>
        </w:rPr>
        <w:t>e</w:t>
      </w:r>
      <w:r>
        <w:rPr>
          <w:rFonts w:hint="eastAsia"/>
          <w:sz w:val="20"/>
          <w:szCs w:val="20"/>
        </w:rPr>
        <w:t xml:space="preserve">.g., </w:t>
      </w:r>
      <w:r>
        <w:rPr>
          <w:sz w:val="20"/>
          <w:szCs w:val="20"/>
        </w:rPr>
        <w:t xml:space="preserve">the size of the platoon can differ even on the move, and resource-efficient distribution of messages for platooning and dynamic control of the distribution </w:t>
      </w:r>
      <w:r>
        <w:rPr>
          <w:rFonts w:hint="eastAsia"/>
          <w:sz w:val="20"/>
          <w:szCs w:val="20"/>
        </w:rPr>
        <w:t>range</w:t>
      </w:r>
      <w:r>
        <w:rPr>
          <w:sz w:val="20"/>
          <w:szCs w:val="20"/>
        </w:rPr>
        <w:t xml:space="preserve"> of the messages should be </w:t>
      </w:r>
      <w:r>
        <w:rPr>
          <w:rFonts w:hint="eastAsia"/>
          <w:sz w:val="20"/>
          <w:szCs w:val="20"/>
        </w:rPr>
        <w:t>considered</w:t>
      </w:r>
      <w:r>
        <w:rPr>
          <w:sz w:val="20"/>
          <w:szCs w:val="20"/>
        </w:rPr>
        <w:t>.</w:t>
      </w:r>
      <w:r>
        <w:rPr>
          <w:rFonts w:hint="eastAsia"/>
          <w:sz w:val="20"/>
          <w:szCs w:val="20"/>
        </w:rPr>
        <w:t xml:space="preserve"> </w:t>
      </w:r>
      <w:r>
        <w:rPr>
          <w:sz w:val="20"/>
          <w:szCs w:val="20"/>
        </w:rPr>
        <w:t>The control of group size</w:t>
      </w:r>
      <w:r>
        <w:rPr>
          <w:rFonts w:hint="eastAsia"/>
          <w:sz w:val="20"/>
          <w:szCs w:val="20"/>
        </w:rPr>
        <w:t xml:space="preserve"> could be done via Tx UE Tx power control bas</w:t>
      </w:r>
      <w:r>
        <w:rPr>
          <w:sz w:val="20"/>
          <w:szCs w:val="20"/>
        </w:rPr>
        <w:t>ed</w:t>
      </w:r>
      <w:r>
        <w:rPr>
          <w:rFonts w:hint="eastAsia"/>
          <w:sz w:val="20"/>
          <w:szCs w:val="20"/>
        </w:rPr>
        <w:t xml:space="preserve"> on the required communication range. </w:t>
      </w:r>
      <w:r>
        <w:rPr>
          <w:sz w:val="20"/>
          <w:szCs w:val="20"/>
        </w:rPr>
        <w:t>In summary</w:t>
      </w:r>
      <w:r>
        <w:rPr>
          <w:rFonts w:hint="eastAsia"/>
          <w:sz w:val="20"/>
          <w:szCs w:val="20"/>
        </w:rPr>
        <w:t xml:space="preserve">, the requirement of communication range could be also considered at application layer, and at Tx side </w:t>
      </w:r>
      <w:r>
        <w:rPr>
          <w:sz w:val="20"/>
          <w:szCs w:val="20"/>
        </w:rPr>
        <w:t>on</w:t>
      </w:r>
      <w:r>
        <w:rPr>
          <w:rFonts w:hint="eastAsia"/>
          <w:sz w:val="20"/>
          <w:szCs w:val="20"/>
        </w:rPr>
        <w:t xml:space="preserve"> the AS layer. From this point of view, distance/RSRP based SL HARQ feedback at the receiver side in physical layer is not necessary for platooning.</w:t>
      </w:r>
    </w:p>
    <w:p w:rsidR="00136DE0" w:rsidRDefault="00A45420">
      <w:pPr>
        <w:pStyle w:val="YJ-Observation"/>
        <w:spacing w:before="120" w:after="120"/>
        <w:rPr>
          <w:lang w:val="en-US" w:eastAsia="zh-CN"/>
        </w:rPr>
      </w:pPr>
      <w:bookmarkStart w:id="21" w:name="_Toc30457"/>
      <w:bookmarkStart w:id="22" w:name="_Toc5117"/>
      <w:bookmarkStart w:id="23" w:name="_Toc16858984"/>
      <w:r>
        <w:rPr>
          <w:rFonts w:hint="eastAsia"/>
          <w:szCs w:val="22"/>
          <w:lang w:val="en-US" w:eastAsia="zh-CN"/>
        </w:rPr>
        <w:t xml:space="preserve">For </w:t>
      </w:r>
      <w:r>
        <w:rPr>
          <w:rFonts w:eastAsia="SimSun" w:hint="eastAsia"/>
          <w:lang w:val="en-US" w:eastAsia="zh-CN"/>
        </w:rPr>
        <w:t>groupcast with application layer session formation</w:t>
      </w:r>
      <w:r>
        <w:rPr>
          <w:rFonts w:eastAsia="SimSun"/>
          <w:lang w:val="en-US" w:eastAsia="zh-CN"/>
        </w:rPr>
        <w:t xml:space="preserve"> </w:t>
      </w:r>
      <w:r>
        <w:rPr>
          <w:rFonts w:eastAsia="SimSun" w:hint="eastAsia"/>
          <w:lang w:val="en-US" w:eastAsia="zh-CN"/>
        </w:rPr>
        <w:t xml:space="preserve">(e.g., platooning), </w:t>
      </w:r>
      <w:r>
        <w:rPr>
          <w:rFonts w:eastAsia="SimSun"/>
          <w:lang w:val="en-US" w:eastAsia="zh-CN"/>
        </w:rPr>
        <w:t xml:space="preserve">the HARQ feedback control based on </w:t>
      </w:r>
      <w:r>
        <w:rPr>
          <w:rFonts w:eastAsia="SimSun" w:hint="eastAsia"/>
          <w:lang w:val="en-US" w:eastAsia="zh-CN"/>
        </w:rPr>
        <w:t>T</w:t>
      </w:r>
      <w:r>
        <w:rPr>
          <w:rFonts w:eastAsia="SimSun"/>
          <w:lang w:val="en-US" w:eastAsia="zh-CN"/>
        </w:rPr>
        <w:t>x</w:t>
      </w:r>
      <w:r>
        <w:rPr>
          <w:rFonts w:eastAsia="SimSun" w:hint="eastAsia"/>
          <w:lang w:val="en-US" w:eastAsia="zh-CN"/>
        </w:rPr>
        <w:t>-R</w:t>
      </w:r>
      <w:r>
        <w:rPr>
          <w:rFonts w:eastAsia="SimSun"/>
          <w:lang w:val="en-US" w:eastAsia="zh-CN"/>
        </w:rPr>
        <w:t>x</w:t>
      </w:r>
      <w:r>
        <w:rPr>
          <w:rFonts w:eastAsia="SimSun" w:hint="eastAsia"/>
          <w:lang w:val="en-US" w:eastAsia="zh-CN"/>
        </w:rPr>
        <w:t xml:space="preserve"> distance </w:t>
      </w:r>
      <w:r>
        <w:rPr>
          <w:rFonts w:hint="eastAsia"/>
        </w:rPr>
        <w:t>is neither necessary nor intended</w:t>
      </w:r>
      <w:r>
        <w:rPr>
          <w:rFonts w:eastAsia="SimSun" w:hint="eastAsia"/>
          <w:lang w:val="en-US" w:eastAsia="zh-CN"/>
        </w:rPr>
        <w:t>.</w:t>
      </w:r>
      <w:bookmarkEnd w:id="21"/>
      <w:bookmarkEnd w:id="22"/>
      <w:bookmarkEnd w:id="23"/>
      <w:r>
        <w:rPr>
          <w:rFonts w:eastAsia="SimSun" w:hint="eastAsia"/>
          <w:lang w:val="en-US" w:eastAsia="zh-CN"/>
        </w:rPr>
        <w:t xml:space="preserve"> </w:t>
      </w:r>
    </w:p>
    <w:p w:rsidR="00136DE0" w:rsidRDefault="00A45420">
      <w:pPr>
        <w:spacing w:before="120" w:after="120"/>
        <w:rPr>
          <w:sz w:val="20"/>
        </w:rPr>
      </w:pPr>
      <w:r>
        <w:rPr>
          <w:rFonts w:hint="eastAsia"/>
          <w:sz w:val="20"/>
        </w:rPr>
        <w:t xml:space="preserve">As agreed at RAN1#96bis meeting, option 2(ACK/NACK) is </w:t>
      </w:r>
      <w:r>
        <w:rPr>
          <w:sz w:val="20"/>
        </w:rPr>
        <w:t>support</w:t>
      </w:r>
      <w:r>
        <w:rPr>
          <w:rFonts w:hint="eastAsia"/>
          <w:sz w:val="20"/>
        </w:rPr>
        <w:t>ed</w:t>
      </w:r>
      <w:r>
        <w:rPr>
          <w:sz w:val="20"/>
        </w:rPr>
        <w:t xml:space="preserve"> for the sidelink HARQ feedback</w:t>
      </w:r>
      <w:r>
        <w:rPr>
          <w:rFonts w:hint="eastAsia"/>
          <w:sz w:val="20"/>
        </w:rPr>
        <w:t xml:space="preserve"> of</w:t>
      </w:r>
      <w:r>
        <w:rPr>
          <w:sz w:val="20"/>
        </w:rPr>
        <w:t xml:space="preserve"> groupcast</w:t>
      </w:r>
      <w:r>
        <w:rPr>
          <w:rFonts w:hint="eastAsia"/>
          <w:sz w:val="20"/>
        </w:rPr>
        <w:t xml:space="preserve"> transmission. For this option, group management is needed at AS layer in addition to the application layer group formation, and each receiver UE will use a separate PSFCH for HARQ ACK/NACK, as we discussed above, for session-based groupcast transmission, HARQ feedback control based on Tx-Rx distance and/or RSRP is neither necessary nor intended.</w:t>
      </w:r>
    </w:p>
    <w:p w:rsidR="00136DE0" w:rsidRDefault="00A45420">
      <w:pPr>
        <w:pStyle w:val="YJ-Proposal"/>
        <w:spacing w:before="120" w:after="120"/>
        <w:rPr>
          <w:szCs w:val="22"/>
          <w:lang w:val="en-US" w:eastAsia="zh-CN"/>
        </w:rPr>
      </w:pPr>
      <w:bookmarkStart w:id="24" w:name="_Toc29882"/>
      <w:bookmarkStart w:id="25" w:name="_Toc16859112"/>
      <w:r>
        <w:rPr>
          <w:rFonts w:hint="eastAsia"/>
          <w:szCs w:val="22"/>
          <w:lang w:val="en-US" w:eastAsia="zh-CN"/>
        </w:rPr>
        <w:t>T</w:t>
      </w:r>
      <w:r>
        <w:rPr>
          <w:szCs w:val="22"/>
          <w:lang w:val="en-US" w:eastAsia="zh-CN"/>
        </w:rPr>
        <w:t xml:space="preserve">he groupcast HARQ feedback control based on </w:t>
      </w:r>
      <w:r>
        <w:rPr>
          <w:rFonts w:hint="eastAsia"/>
          <w:szCs w:val="22"/>
          <w:lang w:val="en-US" w:eastAsia="zh-CN"/>
        </w:rPr>
        <w:t>T</w:t>
      </w:r>
      <w:r>
        <w:rPr>
          <w:szCs w:val="22"/>
          <w:lang w:val="en-US" w:eastAsia="zh-CN"/>
        </w:rPr>
        <w:t>x</w:t>
      </w:r>
      <w:r>
        <w:rPr>
          <w:rFonts w:hint="eastAsia"/>
          <w:szCs w:val="22"/>
          <w:lang w:val="en-US" w:eastAsia="zh-CN"/>
        </w:rPr>
        <w:t>-R</w:t>
      </w:r>
      <w:r>
        <w:rPr>
          <w:szCs w:val="22"/>
          <w:lang w:val="en-US" w:eastAsia="zh-CN"/>
        </w:rPr>
        <w:t>x</w:t>
      </w:r>
      <w:r>
        <w:rPr>
          <w:rFonts w:hint="eastAsia"/>
          <w:szCs w:val="22"/>
          <w:lang w:val="en-US" w:eastAsia="zh-CN"/>
        </w:rPr>
        <w:t xml:space="preserve"> distance is only applied to </w:t>
      </w:r>
      <w:r>
        <w:rPr>
          <w:szCs w:val="22"/>
          <w:lang w:val="en-US" w:eastAsia="zh-CN"/>
        </w:rPr>
        <w:t>NACK-only HARQ</w:t>
      </w:r>
      <w:r>
        <w:rPr>
          <w:rFonts w:hint="eastAsia"/>
          <w:szCs w:val="22"/>
          <w:lang w:val="en-US" w:eastAsia="zh-CN"/>
        </w:rPr>
        <w:t xml:space="preserve"> feedback.</w:t>
      </w:r>
      <w:bookmarkEnd w:id="24"/>
      <w:bookmarkEnd w:id="25"/>
    </w:p>
    <w:p w:rsidR="00136DE0" w:rsidRDefault="00A45420">
      <w:pPr>
        <w:spacing w:before="120" w:after="120"/>
        <w:rPr>
          <w:sz w:val="20"/>
          <w:szCs w:val="22"/>
        </w:rPr>
      </w:pPr>
      <w:r>
        <w:rPr>
          <w:rFonts w:hint="eastAsia"/>
          <w:sz w:val="20"/>
          <w:szCs w:val="22"/>
        </w:rPr>
        <w:t>For TX-RX distance-based HARQ feedback for groupcast, both the TX UE</w:t>
      </w:r>
      <w:r>
        <w:rPr>
          <w:sz w:val="20"/>
          <w:szCs w:val="22"/>
        </w:rPr>
        <w:t>’</w:t>
      </w:r>
      <w:r>
        <w:rPr>
          <w:rFonts w:hint="eastAsia"/>
          <w:sz w:val="20"/>
          <w:szCs w:val="22"/>
        </w:rPr>
        <w:t>s location information and communication range requirement for a PSSCH are known after decoding SCI associated with the PSSCH, but it doesn</w:t>
      </w:r>
      <w:r>
        <w:rPr>
          <w:sz w:val="20"/>
          <w:szCs w:val="22"/>
        </w:rPr>
        <w:t>’</w:t>
      </w:r>
      <w:r>
        <w:rPr>
          <w:rFonts w:hint="eastAsia"/>
          <w:sz w:val="20"/>
          <w:szCs w:val="22"/>
        </w:rPr>
        <w:t>t mean explic</w:t>
      </w:r>
      <w:r>
        <w:rPr>
          <w:sz w:val="20"/>
          <w:szCs w:val="22"/>
        </w:rPr>
        <w:t>it location</w:t>
      </w:r>
      <w:r>
        <w:rPr>
          <w:rFonts w:hint="eastAsia"/>
          <w:sz w:val="20"/>
          <w:szCs w:val="22"/>
        </w:rPr>
        <w:t xml:space="preserve"> indications are introduced in SCI. In LTE V2X, the basic safety messages (BSMs) which contain the information of the location information of the transmitter UE are sent periodically,</w:t>
      </w:r>
      <w:r>
        <w:rPr>
          <w:sz w:val="20"/>
          <w:szCs w:val="22"/>
        </w:rPr>
        <w:t xml:space="preserve"> which means</w:t>
      </w:r>
      <w:r>
        <w:rPr>
          <w:rFonts w:hint="eastAsia"/>
          <w:sz w:val="20"/>
          <w:szCs w:val="22"/>
        </w:rPr>
        <w:t xml:space="preserve"> that the location information of the Tx UE is known at application layer of the Rx UE, </w:t>
      </w:r>
      <w:r>
        <w:rPr>
          <w:sz w:val="20"/>
          <w:szCs w:val="22"/>
        </w:rPr>
        <w:t>where</w:t>
      </w:r>
      <w:r>
        <w:rPr>
          <w:rFonts w:hint="eastAsia"/>
          <w:sz w:val="20"/>
          <w:szCs w:val="22"/>
        </w:rPr>
        <w:t xml:space="preserve"> the location information </w:t>
      </w:r>
      <w:r>
        <w:rPr>
          <w:sz w:val="20"/>
          <w:szCs w:val="22"/>
        </w:rPr>
        <w:t>is associated</w:t>
      </w:r>
      <w:r>
        <w:rPr>
          <w:rFonts w:hint="eastAsia"/>
          <w:sz w:val="20"/>
          <w:szCs w:val="22"/>
        </w:rPr>
        <w:t xml:space="preserve"> with a upper layer UE ID. G</w:t>
      </w:r>
      <w:r>
        <w:rPr>
          <w:sz w:val="20"/>
          <w:szCs w:val="22"/>
        </w:rPr>
        <w:t>iven</w:t>
      </w:r>
      <w:r>
        <w:rPr>
          <w:rFonts w:hint="eastAsia"/>
          <w:sz w:val="20"/>
          <w:szCs w:val="22"/>
        </w:rPr>
        <w:t xml:space="preserve"> the L1 source ID is agreed to be included in the SCI, it is </w:t>
      </w:r>
      <w:r>
        <w:rPr>
          <w:sz w:val="20"/>
          <w:szCs w:val="22"/>
        </w:rPr>
        <w:t>feasible</w:t>
      </w:r>
      <w:r>
        <w:rPr>
          <w:rFonts w:hint="eastAsia"/>
          <w:sz w:val="20"/>
          <w:szCs w:val="22"/>
        </w:rPr>
        <w:t xml:space="preserve"> </w:t>
      </w:r>
      <w:r>
        <w:rPr>
          <w:sz w:val="20"/>
          <w:szCs w:val="22"/>
        </w:rPr>
        <w:t>for</w:t>
      </w:r>
      <w:r>
        <w:rPr>
          <w:rFonts w:hint="eastAsia"/>
          <w:sz w:val="20"/>
          <w:szCs w:val="22"/>
        </w:rPr>
        <w:t xml:space="preserve"> the lower layer</w:t>
      </w:r>
      <w:r>
        <w:rPr>
          <w:sz w:val="20"/>
          <w:szCs w:val="22"/>
        </w:rPr>
        <w:t xml:space="preserve"> </w:t>
      </w:r>
      <w:r>
        <w:rPr>
          <w:rFonts w:hint="eastAsia"/>
          <w:sz w:val="20"/>
          <w:szCs w:val="22"/>
        </w:rPr>
        <w:t xml:space="preserve">(e.g., PHY layer) of the Rx UE </w:t>
      </w:r>
      <w:r>
        <w:rPr>
          <w:sz w:val="20"/>
          <w:szCs w:val="22"/>
        </w:rPr>
        <w:t xml:space="preserve">to </w:t>
      </w:r>
      <w:r>
        <w:rPr>
          <w:rFonts w:hint="eastAsia"/>
          <w:sz w:val="20"/>
          <w:szCs w:val="22"/>
        </w:rPr>
        <w:t xml:space="preserve">acquire </w:t>
      </w:r>
      <w:r>
        <w:rPr>
          <w:sz w:val="20"/>
          <w:szCs w:val="22"/>
        </w:rPr>
        <w:t xml:space="preserve">from application layer </w:t>
      </w:r>
      <w:r>
        <w:rPr>
          <w:rFonts w:hint="eastAsia"/>
          <w:sz w:val="20"/>
          <w:szCs w:val="22"/>
        </w:rPr>
        <w:t xml:space="preserve">the exact geographical information of the Tx UE with L1 source ID decoded if the L1 source ID is </w:t>
      </w:r>
      <w:r>
        <w:rPr>
          <w:rFonts w:hint="eastAsia"/>
        </w:rPr>
        <w:t>derived from the upper layer source ID</w:t>
      </w:r>
      <w:r>
        <w:rPr>
          <w:rFonts w:hint="eastAsia"/>
          <w:sz w:val="20"/>
          <w:szCs w:val="22"/>
        </w:rPr>
        <w:t>, so that the Tx-Rx distance can be derived at lower layer.</w:t>
      </w:r>
    </w:p>
    <w:p w:rsidR="00136DE0" w:rsidRDefault="00A45420">
      <w:pPr>
        <w:pStyle w:val="YJ-Proposal"/>
        <w:spacing w:before="120" w:after="120"/>
        <w:rPr>
          <w:szCs w:val="22"/>
          <w:lang w:val="en-US" w:eastAsia="zh-CN"/>
        </w:rPr>
      </w:pPr>
      <w:bookmarkStart w:id="26" w:name="_Toc16859113"/>
      <w:r>
        <w:rPr>
          <w:rFonts w:hint="eastAsia"/>
          <w:szCs w:val="22"/>
          <w:lang w:val="en-US" w:eastAsia="zh-CN"/>
        </w:rPr>
        <w:t>TX UE</w:t>
      </w:r>
      <w:r>
        <w:rPr>
          <w:szCs w:val="22"/>
          <w:lang w:val="en-US" w:eastAsia="zh-CN"/>
        </w:rPr>
        <w:t>’</w:t>
      </w:r>
      <w:r>
        <w:rPr>
          <w:rFonts w:hint="eastAsia"/>
          <w:szCs w:val="22"/>
          <w:lang w:val="en-US" w:eastAsia="zh-CN"/>
        </w:rPr>
        <w:t>s location is implicit indicated by the L1 source ID in the SCI associated with the PSSCH.</w:t>
      </w:r>
      <w:bookmarkEnd w:id="26"/>
    </w:p>
    <w:p w:rsidR="00136DE0" w:rsidRDefault="00A45420">
      <w:pPr>
        <w:spacing w:before="120" w:after="120"/>
        <w:rPr>
          <w:sz w:val="20"/>
          <w:szCs w:val="22"/>
        </w:rPr>
      </w:pPr>
      <w:r>
        <w:rPr>
          <w:sz w:val="20"/>
          <w:szCs w:val="22"/>
        </w:rPr>
        <w:t>F</w:t>
      </w:r>
      <w:r>
        <w:rPr>
          <w:rFonts w:hint="eastAsia"/>
          <w:sz w:val="20"/>
          <w:szCs w:val="22"/>
        </w:rPr>
        <w:t xml:space="preserve">or communication range requirement, it is agreed that SL group is formed at NAS layer </w:t>
      </w:r>
      <w:r>
        <w:rPr>
          <w:sz w:val="20"/>
          <w:szCs w:val="22"/>
        </w:rPr>
        <w:t>which</w:t>
      </w:r>
      <w:r>
        <w:rPr>
          <w:rFonts w:hint="eastAsia"/>
          <w:sz w:val="20"/>
          <w:szCs w:val="22"/>
        </w:rPr>
        <w:t xml:space="preserve"> may pass the group ID and the associated communication range requirement to AS layer for the formed group. So it is a bounded relationship between the communication range requirement and the group ID, and the L1 destination group ID is also agreed to be included in the SCI, so if the L1 destination group ID is </w:t>
      </w:r>
      <w:r>
        <w:rPr>
          <w:rFonts w:hint="eastAsia"/>
        </w:rPr>
        <w:t xml:space="preserve">derived from the upper layer group ID, </w:t>
      </w:r>
      <w:r>
        <w:rPr>
          <w:rFonts w:hint="eastAsia"/>
          <w:sz w:val="20"/>
          <w:szCs w:val="22"/>
        </w:rPr>
        <w:t xml:space="preserve">it is </w:t>
      </w:r>
      <w:r>
        <w:rPr>
          <w:sz w:val="20"/>
          <w:szCs w:val="22"/>
        </w:rPr>
        <w:t>feasible</w:t>
      </w:r>
      <w:r>
        <w:rPr>
          <w:rFonts w:hint="eastAsia"/>
          <w:sz w:val="20"/>
          <w:szCs w:val="22"/>
        </w:rPr>
        <w:t xml:space="preserve"> </w:t>
      </w:r>
      <w:r>
        <w:rPr>
          <w:sz w:val="20"/>
          <w:szCs w:val="22"/>
        </w:rPr>
        <w:t>for</w:t>
      </w:r>
      <w:r>
        <w:rPr>
          <w:rFonts w:hint="eastAsia"/>
          <w:sz w:val="20"/>
          <w:szCs w:val="22"/>
        </w:rPr>
        <w:t xml:space="preserve"> the lower layer</w:t>
      </w:r>
      <w:r>
        <w:rPr>
          <w:sz w:val="20"/>
          <w:szCs w:val="22"/>
        </w:rPr>
        <w:t xml:space="preserve"> </w:t>
      </w:r>
      <w:r>
        <w:rPr>
          <w:rFonts w:hint="eastAsia"/>
          <w:sz w:val="20"/>
          <w:szCs w:val="22"/>
        </w:rPr>
        <w:t xml:space="preserve">(e.g., PHY layer) of the Rx UE </w:t>
      </w:r>
      <w:r>
        <w:rPr>
          <w:sz w:val="20"/>
          <w:szCs w:val="22"/>
        </w:rPr>
        <w:t xml:space="preserve">to </w:t>
      </w:r>
      <w:r>
        <w:rPr>
          <w:rFonts w:hint="eastAsia"/>
          <w:sz w:val="20"/>
          <w:szCs w:val="22"/>
        </w:rPr>
        <w:t>acquire the communication range requirement with L1 destination group ID decoded.</w:t>
      </w:r>
    </w:p>
    <w:p w:rsidR="00136DE0" w:rsidRDefault="00A45420">
      <w:pPr>
        <w:pStyle w:val="YJ-Proposal"/>
        <w:spacing w:before="120" w:after="120"/>
        <w:rPr>
          <w:szCs w:val="22"/>
          <w:lang w:val="en-US" w:eastAsia="zh-CN"/>
        </w:rPr>
      </w:pPr>
      <w:bookmarkStart w:id="27" w:name="_Toc16859114"/>
      <w:r>
        <w:rPr>
          <w:rFonts w:hint="eastAsia"/>
          <w:szCs w:val="22"/>
          <w:lang w:val="en-US" w:eastAsia="zh-CN"/>
        </w:rPr>
        <w:t>The used communication range requirement for a PSSCH is implicit indicated by the L1 destination group ID in the SCI associated with the PSSCH.</w:t>
      </w:r>
      <w:bookmarkEnd w:id="27"/>
    </w:p>
    <w:p w:rsidR="00136DE0" w:rsidRDefault="00136DE0">
      <w:pPr>
        <w:pStyle w:val="YJ-Proposal"/>
        <w:numPr>
          <w:ilvl w:val="0"/>
          <w:numId w:val="0"/>
        </w:numPr>
        <w:spacing w:before="120" w:after="120"/>
        <w:rPr>
          <w:szCs w:val="22"/>
          <w:highlight w:val="yellow"/>
          <w:lang w:val="en-US" w:eastAsia="zh-CN"/>
        </w:rPr>
      </w:pPr>
    </w:p>
    <w:p w:rsidR="00136DE0" w:rsidRDefault="00A45420">
      <w:pPr>
        <w:pStyle w:val="Heading2"/>
        <w:spacing w:before="120" w:after="120"/>
        <w:ind w:left="991" w:right="210" w:hangingChars="354" w:hanging="991"/>
      </w:pPr>
      <w:r>
        <w:rPr>
          <w:rFonts w:hint="eastAsia"/>
        </w:rPr>
        <w:lastRenderedPageBreak/>
        <w:t>HARQ combination and layer 1 IDs</w:t>
      </w:r>
    </w:p>
    <w:p w:rsidR="00136DE0" w:rsidRDefault="00A45420">
      <w:pPr>
        <w:snapToGrid w:val="0"/>
        <w:spacing w:before="120" w:after="120"/>
        <w:rPr>
          <w:sz w:val="20"/>
        </w:rPr>
      </w:pPr>
      <w:r>
        <w:rPr>
          <w:rFonts w:hint="eastAsia"/>
          <w:sz w:val="20"/>
        </w:rPr>
        <w:t xml:space="preserve">As an outcome of the study, both layer-1 destination </w:t>
      </w:r>
      <w:r>
        <w:rPr>
          <w:sz w:val="20"/>
        </w:rPr>
        <w:t xml:space="preserve">ID </w:t>
      </w:r>
      <w:r>
        <w:rPr>
          <w:rFonts w:hint="eastAsia"/>
          <w:sz w:val="20"/>
        </w:rPr>
        <w:t xml:space="preserve">and layer-1 source ID could be conveyed in SCI. </w:t>
      </w:r>
      <w:r>
        <w:rPr>
          <w:sz w:val="20"/>
        </w:rPr>
        <w:t xml:space="preserve">Meanwhile, </w:t>
      </w:r>
      <w:r>
        <w:rPr>
          <w:rFonts w:hint="eastAsia"/>
          <w:sz w:val="20"/>
        </w:rPr>
        <w:t>RAN2 assumes that destination ID and source ID are provide</w:t>
      </w:r>
      <w:r>
        <w:rPr>
          <w:sz w:val="20"/>
        </w:rPr>
        <w:t>d</w:t>
      </w:r>
      <w:r>
        <w:rPr>
          <w:rFonts w:hint="eastAsia"/>
          <w:sz w:val="20"/>
        </w:rPr>
        <w:t xml:space="preserve"> by upper layer and </w:t>
      </w:r>
      <w:r>
        <w:rPr>
          <w:sz w:val="20"/>
        </w:rPr>
        <w:t>visible to</w:t>
      </w:r>
      <w:r>
        <w:rPr>
          <w:rFonts w:hint="eastAsia"/>
          <w:sz w:val="20"/>
        </w:rPr>
        <w:t xml:space="preserve"> Layer 2. This is similar to LTE D2D/V2X, </w:t>
      </w:r>
      <w:r>
        <w:rPr>
          <w:sz w:val="20"/>
        </w:rPr>
        <w:t xml:space="preserve">where </w:t>
      </w:r>
      <w:r>
        <w:rPr>
          <w:rFonts w:hint="eastAsia"/>
          <w:sz w:val="20"/>
        </w:rPr>
        <w:t>Layer-2 source</w:t>
      </w:r>
      <w:r>
        <w:rPr>
          <w:sz w:val="20"/>
        </w:rPr>
        <w:t>/destination</w:t>
      </w:r>
      <w:r>
        <w:rPr>
          <w:rFonts w:hint="eastAsia"/>
          <w:sz w:val="20"/>
        </w:rPr>
        <w:t xml:space="preserve"> ID</w:t>
      </w:r>
      <w:r>
        <w:rPr>
          <w:sz w:val="20"/>
        </w:rPr>
        <w:t>s</w:t>
      </w:r>
      <w:r>
        <w:rPr>
          <w:rFonts w:hint="eastAsia"/>
          <w:sz w:val="20"/>
        </w:rPr>
        <w:t xml:space="preserve"> are provided by the upper layers</w:t>
      </w:r>
      <w:r>
        <w:rPr>
          <w:sz w:val="20"/>
        </w:rPr>
        <w:t>, and</w:t>
      </w:r>
      <w:r>
        <w:rPr>
          <w:rFonts w:hint="eastAsia"/>
          <w:sz w:val="20"/>
        </w:rPr>
        <w:t xml:space="preserve"> </w:t>
      </w:r>
      <w:r>
        <w:rPr>
          <w:sz w:val="20"/>
        </w:rPr>
        <w:t>its</w:t>
      </w:r>
      <w:r>
        <w:rPr>
          <w:rFonts w:hint="eastAsia"/>
          <w:sz w:val="20"/>
        </w:rPr>
        <w:t xml:space="preserve"> 8 LSBs </w:t>
      </w:r>
      <w:r>
        <w:rPr>
          <w:sz w:val="20"/>
        </w:rPr>
        <w:t xml:space="preserve">is taken as </w:t>
      </w:r>
      <w:r>
        <w:rPr>
          <w:rFonts w:hint="eastAsia"/>
          <w:sz w:val="20"/>
        </w:rPr>
        <w:t>Layer-1 destination ID</w:t>
      </w:r>
      <w:r>
        <w:rPr>
          <w:sz w:val="20"/>
        </w:rPr>
        <w:t xml:space="preserve"> </w:t>
      </w:r>
      <w:r>
        <w:rPr>
          <w:rFonts w:hint="eastAsia"/>
          <w:sz w:val="20"/>
        </w:rPr>
        <w:t xml:space="preserve">(group ID) </w:t>
      </w:r>
      <w:r>
        <w:rPr>
          <w:sz w:val="20"/>
        </w:rPr>
        <w:t xml:space="preserve">being </w:t>
      </w:r>
      <w:r>
        <w:rPr>
          <w:rFonts w:hint="eastAsia"/>
          <w:sz w:val="20"/>
        </w:rPr>
        <w:t xml:space="preserve">included in the SCI to identify a D2D group. For NR V2X, similar mechanism could be </w:t>
      </w:r>
      <w:r>
        <w:rPr>
          <w:sz w:val="20"/>
        </w:rPr>
        <w:t>adopted</w:t>
      </w:r>
      <w:r>
        <w:rPr>
          <w:rFonts w:hint="eastAsia"/>
          <w:sz w:val="20"/>
        </w:rPr>
        <w:t xml:space="preserve">, </w:t>
      </w:r>
      <w:r>
        <w:rPr>
          <w:sz w:val="20"/>
        </w:rPr>
        <w:t>i.e</w:t>
      </w:r>
      <w:r>
        <w:rPr>
          <w:rFonts w:hint="eastAsia"/>
          <w:sz w:val="20"/>
        </w:rPr>
        <w:t xml:space="preserve">., the Layer-1 ID could be a short version of the upper layer ID. </w:t>
      </w:r>
      <w:r>
        <w:rPr>
          <w:sz w:val="20"/>
        </w:rPr>
        <w:t>One potential issue is the potential layer-1 ID collision between two or more UEs</w:t>
      </w:r>
      <w:r>
        <w:rPr>
          <w:rFonts w:hint="eastAsia"/>
          <w:sz w:val="20"/>
        </w:rPr>
        <w:t xml:space="preserve">, which may cause unintended HARQ combination or HARQ feedback </w:t>
      </w:r>
      <w:r>
        <w:rPr>
          <w:sz w:val="20"/>
        </w:rPr>
        <w:t>in</w:t>
      </w:r>
      <w:r>
        <w:rPr>
          <w:rFonts w:hint="eastAsia"/>
          <w:sz w:val="20"/>
        </w:rPr>
        <w:t xml:space="preserve"> unicast/groupcast. </w:t>
      </w:r>
      <w:r>
        <w:rPr>
          <w:sz w:val="20"/>
        </w:rPr>
        <w:t>T</w:t>
      </w:r>
      <w:r>
        <w:rPr>
          <w:rFonts w:hint="eastAsia"/>
          <w:sz w:val="20"/>
        </w:rPr>
        <w:t>his can be solved via the mechanism of upper layer ID updating as in LTE V2X/D2D.</w:t>
      </w:r>
    </w:p>
    <w:p w:rsidR="00136DE0" w:rsidRDefault="00A45420">
      <w:pPr>
        <w:pStyle w:val="YJ-Proposal"/>
        <w:spacing w:before="120" w:after="120"/>
        <w:rPr>
          <w:lang w:val="en-US" w:eastAsia="zh-CN"/>
        </w:rPr>
      </w:pPr>
      <w:bookmarkStart w:id="28" w:name="_Toc16859115"/>
      <w:r>
        <w:rPr>
          <w:rFonts w:eastAsia="SimSun" w:hint="eastAsia"/>
          <w:lang w:val="en-US" w:eastAsia="zh-CN"/>
        </w:rPr>
        <w:t xml:space="preserve">Layer-1 destination ID and layer-1 source ID </w:t>
      </w:r>
      <w:r>
        <w:rPr>
          <w:rFonts w:eastAsia="SimSun"/>
          <w:lang w:val="en-US" w:eastAsia="zh-CN"/>
        </w:rPr>
        <w:t>ar</w:t>
      </w:r>
      <w:r>
        <w:rPr>
          <w:rFonts w:eastAsia="SimSun" w:hint="eastAsia"/>
          <w:lang w:val="en-US" w:eastAsia="zh-CN"/>
        </w:rPr>
        <w:t xml:space="preserve">e derived from the upper layer destination ID and source ID, e.g., </w:t>
      </w:r>
      <w:r>
        <w:rPr>
          <w:rFonts w:eastAsia="SimSun"/>
          <w:lang w:val="en-US" w:eastAsia="zh-CN"/>
        </w:rPr>
        <w:t xml:space="preserve">by taking </w:t>
      </w:r>
      <w:r>
        <w:rPr>
          <w:rFonts w:eastAsia="SimSun" w:hint="eastAsia"/>
          <w:lang w:val="en-US" w:eastAsia="zh-CN"/>
        </w:rPr>
        <w:t>the 8LSBs of upper layer ID</w:t>
      </w:r>
      <w:r>
        <w:rPr>
          <w:rFonts w:eastAsia="SimSun"/>
          <w:lang w:val="en-US" w:eastAsia="zh-CN"/>
        </w:rPr>
        <w:t>’s</w:t>
      </w:r>
      <w:r>
        <w:rPr>
          <w:rFonts w:eastAsia="SimSun" w:hint="eastAsia"/>
          <w:lang w:val="en-US" w:eastAsia="zh-CN"/>
        </w:rPr>
        <w:t>.</w:t>
      </w:r>
      <w:r>
        <w:rPr>
          <w:rFonts w:eastAsia="SimSun"/>
          <w:lang w:val="en-US" w:eastAsia="zh-CN"/>
        </w:rPr>
        <w:t xml:space="preserve"> </w:t>
      </w:r>
      <w:r>
        <w:rPr>
          <w:rFonts w:hint="eastAsia"/>
          <w:lang w:val="en-US" w:eastAsia="zh-CN"/>
        </w:rPr>
        <w:t>U</w:t>
      </w:r>
      <w:r>
        <w:rPr>
          <w:rFonts w:eastAsia="SimSun" w:hint="eastAsia"/>
          <w:lang w:val="en-US" w:eastAsia="zh-CN"/>
        </w:rPr>
        <w:t xml:space="preserve">pper layer ID updating mechanism as in LTE V2X is adopted to solve </w:t>
      </w:r>
      <w:r>
        <w:rPr>
          <w:rFonts w:eastAsia="SimSun"/>
          <w:lang w:val="en-US" w:eastAsia="zh-CN"/>
        </w:rPr>
        <w:t xml:space="preserve">Layer-1 </w:t>
      </w:r>
      <w:r>
        <w:rPr>
          <w:rFonts w:eastAsia="SimSun" w:hint="eastAsia"/>
          <w:lang w:val="en-US" w:eastAsia="zh-CN"/>
        </w:rPr>
        <w:t>ID collision issue.</w:t>
      </w:r>
      <w:bookmarkEnd w:id="28"/>
    </w:p>
    <w:p w:rsidR="00136DE0" w:rsidRDefault="00A45420">
      <w:pPr>
        <w:snapToGrid w:val="0"/>
        <w:spacing w:before="120" w:after="120"/>
        <w:rPr>
          <w:sz w:val="20"/>
        </w:rPr>
      </w:pPr>
      <w:bookmarkStart w:id="29" w:name="_Toc939"/>
      <w:bookmarkStart w:id="30" w:name="_Toc6764"/>
      <w:bookmarkStart w:id="31" w:name="_Toc24792"/>
      <w:bookmarkEnd w:id="29"/>
      <w:bookmarkEnd w:id="30"/>
      <w:bookmarkEnd w:id="31"/>
      <w:r>
        <w:rPr>
          <w:sz w:val="20"/>
        </w:rPr>
        <w:t>Another</w:t>
      </w:r>
      <w:r>
        <w:rPr>
          <w:rFonts w:hint="eastAsia"/>
          <w:sz w:val="20"/>
        </w:rPr>
        <w:t xml:space="preserve"> question is </w:t>
      </w:r>
      <w:r>
        <w:rPr>
          <w:sz w:val="20"/>
        </w:rPr>
        <w:t xml:space="preserve">whether </w:t>
      </w:r>
      <w:r>
        <w:rPr>
          <w:rFonts w:hint="eastAsia"/>
          <w:sz w:val="20"/>
        </w:rPr>
        <w:t xml:space="preserve">some of the layer 1 IDs and HARQ information </w:t>
      </w:r>
      <w:r>
        <w:rPr>
          <w:sz w:val="20"/>
        </w:rPr>
        <w:t>may not be present</w:t>
      </w:r>
      <w:r>
        <w:rPr>
          <w:rFonts w:hint="eastAsia"/>
          <w:sz w:val="20"/>
        </w:rPr>
        <w:t xml:space="preserve"> depending on </w:t>
      </w:r>
      <w:r>
        <w:rPr>
          <w:sz w:val="20"/>
        </w:rPr>
        <w:t>cast type (</w:t>
      </w:r>
      <w:r>
        <w:rPr>
          <w:rFonts w:hint="eastAsia"/>
          <w:sz w:val="20"/>
        </w:rPr>
        <w:t>unicast, groupcast and broadcast</w:t>
      </w:r>
      <w:r>
        <w:rPr>
          <w:sz w:val="20"/>
        </w:rPr>
        <w:t>)</w:t>
      </w:r>
      <w:r>
        <w:rPr>
          <w:rFonts w:hint="eastAsia"/>
          <w:sz w:val="20"/>
        </w:rPr>
        <w:t xml:space="preserve">. For Layer-1 destination ID, it is useful for filtering the unintended packet in physical layer, and it may also be used in SCI to distinguish the cast-mode of the PSSCH, so we prefer </w:t>
      </w:r>
      <w:r>
        <w:rPr>
          <w:sz w:val="20"/>
        </w:rPr>
        <w:t xml:space="preserve">to </w:t>
      </w:r>
      <w:r>
        <w:rPr>
          <w:rFonts w:hint="eastAsia"/>
          <w:sz w:val="20"/>
        </w:rPr>
        <w:t>always include layer-1 destination ID in SCI. For the additional IDs/information, the main purpose of including HARQ process ID, RV, NDI and L1 source ID is for HARQ combination. HARQ combination is</w:t>
      </w:r>
      <w:r>
        <w:rPr>
          <w:sz w:val="20"/>
        </w:rPr>
        <w:t xml:space="preserve"> also </w:t>
      </w:r>
      <w:r>
        <w:rPr>
          <w:rFonts w:hint="eastAsia"/>
          <w:sz w:val="20"/>
        </w:rPr>
        <w:t>benefic</w:t>
      </w:r>
      <w:r>
        <w:rPr>
          <w:sz w:val="20"/>
        </w:rPr>
        <w:t>ial for broadcast transmission</w:t>
      </w:r>
      <w:r>
        <w:rPr>
          <w:rFonts w:hint="eastAsia"/>
          <w:sz w:val="20"/>
        </w:rPr>
        <w:t>, and the additional IDs/information</w:t>
      </w:r>
      <w:r>
        <w:rPr>
          <w:sz w:val="20"/>
        </w:rPr>
        <w:t xml:space="preserve"> can be included to support</w:t>
      </w:r>
      <w:r>
        <w:rPr>
          <w:rFonts w:hint="eastAsia"/>
          <w:sz w:val="20"/>
        </w:rPr>
        <w:t xml:space="preserve"> HARQ combination </w:t>
      </w:r>
      <w:r>
        <w:rPr>
          <w:sz w:val="20"/>
        </w:rPr>
        <w:t>for flexibility</w:t>
      </w:r>
      <w:r>
        <w:rPr>
          <w:rFonts w:hint="eastAsia"/>
          <w:sz w:val="20"/>
        </w:rPr>
        <w:t>, e.g., flexible broadcast retransmission time and flexible time/frequency domain relationship between the initial transmission resource and retransmission resources.</w:t>
      </w:r>
    </w:p>
    <w:p w:rsidR="00136DE0" w:rsidRDefault="00A45420">
      <w:pPr>
        <w:pStyle w:val="YJ-Proposal"/>
        <w:spacing w:before="120" w:after="120"/>
        <w:rPr>
          <w:lang w:val="en-US" w:eastAsia="zh-CN"/>
        </w:rPr>
      </w:pPr>
      <w:bookmarkStart w:id="32" w:name="_Toc18700"/>
      <w:bookmarkStart w:id="33" w:name="_Toc30725"/>
      <w:bookmarkStart w:id="34" w:name="_Toc16859116"/>
      <w:r>
        <w:rPr>
          <w:rFonts w:eastAsia="SimSun" w:hint="eastAsia"/>
          <w:lang w:val="en-US" w:eastAsia="zh-CN"/>
        </w:rPr>
        <w:t>L1 destination ID, HARQ process ID, RV, NDI and L1 source ID are always present in SCI for broadcast, groupcast and unicast.</w:t>
      </w:r>
      <w:bookmarkEnd w:id="32"/>
      <w:bookmarkEnd w:id="33"/>
      <w:bookmarkEnd w:id="34"/>
    </w:p>
    <w:p w:rsidR="00136DE0" w:rsidRDefault="00A45420">
      <w:pPr>
        <w:pStyle w:val="Heading2"/>
        <w:spacing w:before="120" w:after="120"/>
        <w:ind w:left="991" w:right="210" w:hangingChars="354" w:hanging="991"/>
      </w:pPr>
      <w:r>
        <w:rPr>
          <w:rFonts w:hint="eastAsia"/>
        </w:rPr>
        <w:t>CBG based feedback</w:t>
      </w:r>
    </w:p>
    <w:p w:rsidR="00136DE0" w:rsidRDefault="00A45420">
      <w:pPr>
        <w:overflowPunct w:val="0"/>
        <w:autoSpaceDE w:val="0"/>
        <w:autoSpaceDN w:val="0"/>
        <w:adjustRightInd w:val="0"/>
        <w:snapToGrid w:val="0"/>
        <w:spacing w:before="120" w:after="120"/>
        <w:textAlignment w:val="baseline"/>
        <w:rPr>
          <w:kern w:val="0"/>
          <w:sz w:val="20"/>
        </w:rPr>
      </w:pPr>
      <w:r>
        <w:rPr>
          <w:rFonts w:hint="eastAsia"/>
          <w:kern w:val="0"/>
          <w:sz w:val="20"/>
        </w:rPr>
        <w:t>CBG based HARQ feedback is discussed during the SI, and t</w:t>
      </w:r>
      <w:r>
        <w:rPr>
          <w:rFonts w:eastAsia="Times New Roman"/>
          <w:kern w:val="0"/>
          <w:sz w:val="20"/>
          <w:lang w:val="en-GB" w:eastAsia="en-US"/>
        </w:rPr>
        <w:t>here is no consensus in supporting</w:t>
      </w:r>
      <w:r>
        <w:rPr>
          <w:rFonts w:hint="eastAsia"/>
          <w:kern w:val="0"/>
          <w:sz w:val="20"/>
        </w:rPr>
        <w:t xml:space="preserve"> this feature for sidelink unicast/groupcast. Basing on the following reasons, we prefer not to consider CBG based HARQ in release 16.</w:t>
      </w:r>
    </w:p>
    <w:p w:rsidR="00136DE0" w:rsidRDefault="00A45420">
      <w:pPr>
        <w:pStyle w:val="ListParagraph"/>
        <w:numPr>
          <w:ilvl w:val="0"/>
          <w:numId w:val="12"/>
        </w:numPr>
        <w:spacing w:before="120" w:after="120"/>
        <w:rPr>
          <w:rFonts w:eastAsia="SimSun"/>
          <w:sz w:val="20"/>
          <w:szCs w:val="20"/>
        </w:rPr>
      </w:pPr>
      <w:r>
        <w:rPr>
          <w:rFonts w:eastAsia="SimSun" w:hint="eastAsia"/>
          <w:sz w:val="20"/>
          <w:szCs w:val="20"/>
        </w:rPr>
        <w:t>As agreed in SI, an in-coverage mode 1 UE can only report an indication to gNB to indicate the need for retransmission of a TB, i.e., CBG based retransmission is not supported for mode 1.</w:t>
      </w:r>
    </w:p>
    <w:p w:rsidR="00136DE0" w:rsidRDefault="00A45420">
      <w:pPr>
        <w:pStyle w:val="ListParagraph"/>
        <w:numPr>
          <w:ilvl w:val="0"/>
          <w:numId w:val="12"/>
        </w:numPr>
        <w:spacing w:before="120" w:after="120"/>
        <w:rPr>
          <w:rFonts w:eastAsia="SimSun"/>
          <w:sz w:val="20"/>
          <w:szCs w:val="20"/>
        </w:rPr>
      </w:pPr>
      <w:r>
        <w:rPr>
          <w:rFonts w:eastAsia="SimSun" w:hint="eastAsia"/>
          <w:sz w:val="20"/>
          <w:szCs w:val="20"/>
        </w:rPr>
        <w:t>The benefit of supporting CBG based HARQ operation has not been justified for groupcast but certainly with larger HARQ feedback overhead.</w:t>
      </w:r>
    </w:p>
    <w:p w:rsidR="00136DE0" w:rsidRDefault="00A45420">
      <w:pPr>
        <w:pStyle w:val="ListParagraph"/>
        <w:numPr>
          <w:ilvl w:val="0"/>
          <w:numId w:val="12"/>
        </w:numPr>
        <w:spacing w:before="120" w:after="120"/>
        <w:rPr>
          <w:rFonts w:eastAsia="SimSun"/>
          <w:sz w:val="20"/>
          <w:szCs w:val="20"/>
        </w:rPr>
      </w:pPr>
      <w:r>
        <w:rPr>
          <w:rFonts w:eastAsia="SimSun" w:hint="eastAsia"/>
          <w:sz w:val="20"/>
          <w:szCs w:val="20"/>
        </w:rPr>
        <w:t>CBG-based operation would impact the design of SCI and PSFCH, causing additional normative work which are not ensured to be done in Rel-16 due to limited time for the WI, and CBG-based operation is just an enhancement instead of a fundamental feature.</w:t>
      </w:r>
    </w:p>
    <w:p w:rsidR="00136DE0" w:rsidRDefault="00A45420">
      <w:pPr>
        <w:pStyle w:val="YJ-Proposal"/>
        <w:spacing w:before="120" w:after="120"/>
        <w:rPr>
          <w:lang w:val="en-US" w:eastAsia="zh-CN"/>
        </w:rPr>
      </w:pPr>
      <w:bookmarkStart w:id="35" w:name="_Toc22730"/>
      <w:bookmarkStart w:id="36" w:name="_Toc11848"/>
      <w:bookmarkStart w:id="37" w:name="_Toc16859117"/>
      <w:r>
        <w:rPr>
          <w:rFonts w:eastAsia="SimSun" w:hint="eastAsia"/>
          <w:lang w:val="en-US" w:eastAsia="zh-CN"/>
        </w:rPr>
        <w:t xml:space="preserve">CBG based HARQ feedback is not </w:t>
      </w:r>
      <w:r>
        <w:rPr>
          <w:rFonts w:eastAsia="SimSun"/>
          <w:lang w:val="en-US" w:eastAsia="zh-CN"/>
        </w:rPr>
        <w:t>supported</w:t>
      </w:r>
      <w:r>
        <w:rPr>
          <w:rFonts w:eastAsia="SimSun" w:hint="eastAsia"/>
          <w:lang w:val="en-US" w:eastAsia="zh-CN"/>
        </w:rPr>
        <w:t xml:space="preserve"> in Rel-16 V2X</w:t>
      </w:r>
      <w:bookmarkEnd w:id="35"/>
      <w:bookmarkEnd w:id="36"/>
      <w:r>
        <w:rPr>
          <w:rFonts w:eastAsia="SimSun"/>
          <w:lang w:val="en-US" w:eastAsia="zh-CN"/>
        </w:rPr>
        <w:t>.</w:t>
      </w:r>
      <w:bookmarkEnd w:id="37"/>
    </w:p>
    <w:p w:rsidR="00136DE0" w:rsidRDefault="00A45420">
      <w:pPr>
        <w:pStyle w:val="Heading1"/>
        <w:spacing w:before="120" w:after="120"/>
        <w:ind w:left="0"/>
        <w:rPr>
          <w:szCs w:val="22"/>
        </w:rPr>
      </w:pPr>
      <w:bookmarkStart w:id="38" w:name="_Toc525"/>
      <w:bookmarkStart w:id="39" w:name="_Toc29400"/>
      <w:bookmarkStart w:id="40" w:name="_Toc82"/>
      <w:bookmarkEnd w:id="38"/>
      <w:bookmarkEnd w:id="39"/>
      <w:bookmarkEnd w:id="40"/>
      <w:r>
        <w:rPr>
          <w:rFonts w:hint="eastAsia"/>
          <w:szCs w:val="22"/>
        </w:rPr>
        <w:t>CSI acquisition</w:t>
      </w:r>
    </w:p>
    <w:p w:rsidR="00136DE0" w:rsidRDefault="00A45420">
      <w:pPr>
        <w:overflowPunct w:val="0"/>
        <w:autoSpaceDE w:val="0"/>
        <w:autoSpaceDN w:val="0"/>
        <w:adjustRightInd w:val="0"/>
        <w:snapToGrid w:val="0"/>
        <w:spacing w:before="120" w:after="120"/>
        <w:textAlignment w:val="baseline"/>
        <w:rPr>
          <w:sz w:val="20"/>
        </w:rPr>
      </w:pPr>
      <w:r>
        <w:rPr>
          <w:rFonts w:hint="eastAsia"/>
          <w:sz w:val="20"/>
        </w:rPr>
        <w:t>As the agreement for CSI acquisition, at least Sidelink CSI-RS could be used for CQI/RI measurement, and sidelink CSI-RS is confined within the PSSCH transmission. From our point of view, it is not necessary to perform CQI/RI measurement for each packet, and CSI-RS is not always present in each PSSCH transmission. And to avoid ambiguity on the existence of SL CSI-RS between TX UE and RX UE which is related to rate matching, SCI should include the information to indicate the presence of CSI-RS in the PSSCH resources. As the 5G V2X WID[2], i</w:t>
      </w:r>
      <w:r>
        <w:rPr>
          <w:sz w:val="20"/>
          <w:lang w:eastAsia="ko-KR"/>
        </w:rPr>
        <w:t>n sidelink, CQI/RI reporting is supported</w:t>
      </w:r>
      <w:r>
        <w:rPr>
          <w:rFonts w:hint="eastAsia"/>
          <w:sz w:val="20"/>
        </w:rPr>
        <w:t xml:space="preserve"> and</w:t>
      </w:r>
      <w:r>
        <w:rPr>
          <w:sz w:val="20"/>
          <w:lang w:eastAsia="ko-KR"/>
        </w:rPr>
        <w:t xml:space="preserve"> is delivered using PSSCH (including PSSCH containing CSI only) using the resource allocation procedure for data transmission</w:t>
      </w:r>
      <w:r>
        <w:rPr>
          <w:rFonts w:hint="eastAsia"/>
          <w:sz w:val="20"/>
        </w:rPr>
        <w:t xml:space="preserve">. That is </w:t>
      </w:r>
      <w:r>
        <w:rPr>
          <w:sz w:val="20"/>
          <w:lang w:eastAsia="ko-KR"/>
        </w:rPr>
        <w:t>CQI/RI</w:t>
      </w:r>
      <w:r>
        <w:rPr>
          <w:rFonts w:hint="eastAsia"/>
          <w:sz w:val="20"/>
        </w:rPr>
        <w:t xml:space="preserve"> reporting should be treated the same way as data from the perspective of physical layer, and there is no need to indicate the presence of CQI/RI reporting in the associated PSSCH in SCI. Similar to CSI reporting via Uu, </w:t>
      </w:r>
      <w:r>
        <w:rPr>
          <w:sz w:val="20"/>
          <w:lang w:eastAsia="ko-KR"/>
        </w:rPr>
        <w:t>CQI/RI</w:t>
      </w:r>
      <w:r>
        <w:rPr>
          <w:rFonts w:hint="eastAsia"/>
          <w:sz w:val="20"/>
        </w:rPr>
        <w:t xml:space="preserve"> reporting could be carried in MAC CE.</w:t>
      </w:r>
    </w:p>
    <w:p w:rsidR="00136DE0" w:rsidRDefault="00A45420">
      <w:pPr>
        <w:pStyle w:val="YJ-Proposal"/>
        <w:spacing w:before="120" w:after="120"/>
        <w:rPr>
          <w:szCs w:val="22"/>
          <w:lang w:val="en-US" w:eastAsia="zh-CN"/>
        </w:rPr>
      </w:pPr>
      <w:bookmarkStart w:id="41" w:name="_Toc14823"/>
      <w:bookmarkStart w:id="42" w:name="_Toc22783"/>
      <w:bookmarkStart w:id="43" w:name="_Toc16859118"/>
      <w:r>
        <w:rPr>
          <w:rFonts w:eastAsia="SimSun"/>
          <w:lang w:val="en-US" w:eastAsia="zh-CN"/>
        </w:rPr>
        <w:t xml:space="preserve">It is </w:t>
      </w:r>
      <w:r>
        <w:rPr>
          <w:rFonts w:eastAsia="SimSun" w:hint="eastAsia"/>
          <w:lang w:val="en-US" w:eastAsia="zh-CN"/>
        </w:rPr>
        <w:t>support</w:t>
      </w:r>
      <w:r>
        <w:rPr>
          <w:rFonts w:eastAsia="SimSun"/>
          <w:lang w:val="en-US" w:eastAsia="zh-CN"/>
        </w:rPr>
        <w:t>ed</w:t>
      </w:r>
      <w:r>
        <w:rPr>
          <w:rFonts w:eastAsia="SimSun" w:hint="eastAsia"/>
          <w:lang w:val="en-US" w:eastAsia="zh-CN"/>
        </w:rPr>
        <w:t xml:space="preserve"> that the information of sidelink CSI-RS in associated PSSCH is indicated in SCI.</w:t>
      </w:r>
      <w:bookmarkEnd w:id="41"/>
      <w:bookmarkEnd w:id="42"/>
      <w:bookmarkEnd w:id="43"/>
    </w:p>
    <w:p w:rsidR="00136DE0" w:rsidRDefault="00A45420">
      <w:pPr>
        <w:pStyle w:val="YJ-Proposal"/>
        <w:spacing w:before="120" w:after="120"/>
        <w:rPr>
          <w:lang w:val="en-US" w:eastAsia="zh-CN"/>
        </w:rPr>
      </w:pPr>
      <w:bookmarkStart w:id="44" w:name="_Toc18244"/>
      <w:bookmarkStart w:id="45" w:name="_Toc16261"/>
      <w:bookmarkStart w:id="46" w:name="_Toc16859119"/>
      <w:r>
        <w:rPr>
          <w:lang w:eastAsia="ko-KR"/>
        </w:rPr>
        <w:lastRenderedPageBreak/>
        <w:t>CQI/RI</w:t>
      </w:r>
      <w:r>
        <w:rPr>
          <w:rFonts w:hint="eastAsia"/>
          <w:lang w:val="en-US" w:eastAsia="zh-CN"/>
        </w:rPr>
        <w:t xml:space="preserve"> reporting is carried in MAC CE, and no information is needed in SCI to indicate the presence of </w:t>
      </w:r>
      <w:r>
        <w:rPr>
          <w:lang w:eastAsia="ko-KR"/>
        </w:rPr>
        <w:t>CQI/RI</w:t>
      </w:r>
      <w:r>
        <w:rPr>
          <w:rFonts w:hint="eastAsia"/>
          <w:lang w:val="en-US" w:eastAsia="zh-CN"/>
        </w:rPr>
        <w:t xml:space="preserve"> reporting.</w:t>
      </w:r>
      <w:bookmarkEnd w:id="44"/>
      <w:bookmarkEnd w:id="45"/>
      <w:bookmarkEnd w:id="46"/>
    </w:p>
    <w:p w:rsidR="00136DE0" w:rsidRDefault="00A45420">
      <w:pPr>
        <w:pStyle w:val="Heading1"/>
        <w:spacing w:before="120" w:after="120"/>
        <w:ind w:left="0"/>
        <w:rPr>
          <w:szCs w:val="22"/>
        </w:rPr>
      </w:pPr>
      <w:r>
        <w:rPr>
          <w:rFonts w:hint="eastAsia"/>
          <w:szCs w:val="22"/>
        </w:rPr>
        <w:t>Power control</w:t>
      </w:r>
    </w:p>
    <w:p w:rsidR="00136DE0" w:rsidRDefault="00A45420">
      <w:pPr>
        <w:overflowPunct w:val="0"/>
        <w:autoSpaceDE w:val="0"/>
        <w:autoSpaceDN w:val="0"/>
        <w:adjustRightInd w:val="0"/>
        <w:snapToGrid w:val="0"/>
        <w:spacing w:before="120" w:after="120"/>
        <w:textAlignment w:val="baseline"/>
        <w:rPr>
          <w:sz w:val="20"/>
        </w:rPr>
      </w:pPr>
      <w:r>
        <w:rPr>
          <w:rFonts w:hint="eastAsia"/>
          <w:sz w:val="20"/>
        </w:rPr>
        <w:t xml:space="preserve">As the outcome of the </w:t>
      </w:r>
      <w:r>
        <w:rPr>
          <w:sz w:val="20"/>
        </w:rPr>
        <w:t>SI</w:t>
      </w:r>
      <w:r>
        <w:rPr>
          <w:rFonts w:hint="eastAsia"/>
          <w:sz w:val="20"/>
        </w:rPr>
        <w:t>, to derive the SL</w:t>
      </w:r>
      <w:r>
        <w:rPr>
          <w:sz w:val="20"/>
        </w:rPr>
        <w:t xml:space="preserve"> pathloss</w:t>
      </w:r>
      <w:r>
        <w:rPr>
          <w:rFonts w:hint="eastAsia"/>
          <w:sz w:val="20"/>
        </w:rPr>
        <w:t xml:space="preserve"> at TX UE, RSRP reporting to the TX UE is supported. And it can be expected that the L3 filtered pathloss would be used to perform sidelink open loop power control. But it would be some problem if the L3 filtering was done for RSRP while the Tx power may be fluctuated at the TX UE side due to sidelink power control. To resolve this issue, the Tx power of the signal transmitted by the Tx UE could be indicated to the RX UE, and the RX UE could perform the L3 filtering for pathloss basing on the indicated TX power and the measured RSRP. </w:t>
      </w:r>
    </w:p>
    <w:p w:rsidR="00136DE0" w:rsidRDefault="00A45420">
      <w:pPr>
        <w:pStyle w:val="YJ-Proposal"/>
        <w:spacing w:before="120" w:after="120"/>
        <w:rPr>
          <w:lang w:val="en-US" w:eastAsia="zh-CN"/>
        </w:rPr>
      </w:pPr>
      <w:bookmarkStart w:id="47" w:name="_Toc10869"/>
      <w:bookmarkStart w:id="48" w:name="_Toc10229"/>
      <w:bookmarkStart w:id="49" w:name="_Toc16859120"/>
      <w:r>
        <w:rPr>
          <w:rFonts w:hint="eastAsia"/>
          <w:lang w:val="en-US" w:eastAsia="zh-CN"/>
        </w:rPr>
        <w:t>For the signal used for RX UE RSRP measurement, its TX power is also indicated to the RX UE.</w:t>
      </w:r>
      <w:bookmarkEnd w:id="47"/>
      <w:bookmarkEnd w:id="48"/>
      <w:bookmarkEnd w:id="49"/>
    </w:p>
    <w:p w:rsidR="00136DE0" w:rsidRDefault="00A45420">
      <w:pPr>
        <w:spacing w:before="120" w:after="120"/>
        <w:rPr>
          <w:sz w:val="20"/>
        </w:rPr>
      </w:pPr>
      <w:r>
        <w:rPr>
          <w:rFonts w:hint="eastAsia"/>
          <w:sz w:val="20"/>
        </w:rPr>
        <w:t>For NR SL power control for PSCCH and PSSCH multiplexing option 3, an reply LS(R1-1903847) was received from RAN4 at RAN1#96bis meeting. From the LS, it can be seen that transient period is needed between symbols containing PSCCH and symbols not containing PSCCH if either the total transmit power or the power spectral density is different between the last symbol containing PSCCH and the following symbol. For PSCCH and PSSCH multiplexing option 3, either the total Tx Power or PSSCH EPRE would be different between the symbols containing PSCCH and the symbols only with PSSCH if PSCCH boosting was supported. So to avoid the transient period, we propose that power boosting for PSCCH is not supported for PSCCH and PSSCH multiplexing option 3.</w:t>
      </w:r>
    </w:p>
    <w:p w:rsidR="00136DE0" w:rsidRDefault="00A45420">
      <w:pPr>
        <w:pStyle w:val="YJ-Proposal"/>
        <w:spacing w:before="120" w:after="120"/>
        <w:rPr>
          <w:lang w:val="en-US" w:eastAsia="zh-CN"/>
        </w:rPr>
      </w:pPr>
      <w:bookmarkStart w:id="50" w:name="_Toc21066"/>
      <w:bookmarkStart w:id="51" w:name="_Toc24375"/>
      <w:bookmarkStart w:id="52" w:name="_Toc16859121"/>
      <w:r>
        <w:rPr>
          <w:rFonts w:hint="eastAsia"/>
          <w:lang w:val="en-US" w:eastAsia="zh-CN"/>
        </w:rPr>
        <w:t>For PSCCH and PSSCH multiplexing option 3, power boosting for PSCCH is not supported.</w:t>
      </w:r>
      <w:bookmarkEnd w:id="50"/>
      <w:bookmarkEnd w:id="51"/>
      <w:bookmarkEnd w:id="52"/>
    </w:p>
    <w:p w:rsidR="00136DE0" w:rsidRDefault="00A45420">
      <w:pPr>
        <w:spacing w:before="120" w:after="120"/>
        <w:rPr>
          <w:sz w:val="20"/>
          <w:szCs w:val="22"/>
        </w:rPr>
      </w:pPr>
      <w:r>
        <w:rPr>
          <w:rFonts w:hint="eastAsia"/>
          <w:sz w:val="20"/>
          <w:szCs w:val="22"/>
        </w:rPr>
        <w:t xml:space="preserve">For power control of PSFCH, it </w:t>
      </w:r>
      <w:r>
        <w:rPr>
          <w:sz w:val="20"/>
          <w:szCs w:val="22"/>
        </w:rPr>
        <w:t>could be an overkill</w:t>
      </w:r>
      <w:r>
        <w:rPr>
          <w:rFonts w:hint="eastAsia"/>
          <w:sz w:val="20"/>
          <w:szCs w:val="22"/>
        </w:rPr>
        <w:t xml:space="preserve"> to use RSRP based feedback to perform power control, especially for groupcast feedback. The simple power control rule defined for SL broadcast could be reused for PSFCH, e.g., the SL open-loop power control of PSFCH could be configured to use DL pathloss without RSRP feedback via SL.</w:t>
      </w:r>
    </w:p>
    <w:p w:rsidR="00136DE0" w:rsidRDefault="00A45420">
      <w:pPr>
        <w:pStyle w:val="YJ-Proposal"/>
        <w:spacing w:before="120" w:after="120"/>
        <w:rPr>
          <w:lang w:val="en-US" w:eastAsia="zh-CN"/>
        </w:rPr>
      </w:pPr>
      <w:bookmarkStart w:id="53" w:name="_Toc16859122"/>
      <w:r>
        <w:rPr>
          <w:rFonts w:eastAsia="SimSun" w:hint="eastAsia"/>
          <w:szCs w:val="22"/>
          <w:lang w:val="en-US" w:eastAsia="zh-CN"/>
        </w:rPr>
        <w:t>F</w:t>
      </w:r>
      <w:r>
        <w:rPr>
          <w:rFonts w:eastAsia="SimSun" w:hint="eastAsia"/>
          <w:szCs w:val="22"/>
        </w:rPr>
        <w:t xml:space="preserve">or </w:t>
      </w:r>
      <w:r>
        <w:rPr>
          <w:rFonts w:eastAsia="SimSun" w:hint="eastAsia"/>
          <w:szCs w:val="22"/>
          <w:lang w:val="en-US" w:eastAsia="zh-CN"/>
        </w:rPr>
        <w:t>open-loop power control of PSFCH, the rule defined for SL broadcast should be reused</w:t>
      </w:r>
      <w:r>
        <w:rPr>
          <w:rFonts w:hint="eastAsia"/>
          <w:lang w:val="en-US" w:eastAsia="zh-CN"/>
        </w:rPr>
        <w:t>.</w:t>
      </w:r>
      <w:bookmarkEnd w:id="53"/>
    </w:p>
    <w:p w:rsidR="00136DE0" w:rsidRDefault="00136DE0">
      <w:pPr>
        <w:spacing w:before="120" w:after="120"/>
        <w:rPr>
          <w:sz w:val="20"/>
          <w:szCs w:val="22"/>
        </w:rPr>
      </w:pPr>
    </w:p>
    <w:p w:rsidR="00136DE0" w:rsidRDefault="00A45420">
      <w:pPr>
        <w:pStyle w:val="Heading1"/>
        <w:spacing w:before="120" w:after="120"/>
        <w:ind w:left="0"/>
        <w:rPr>
          <w:rFonts w:eastAsia="SimSun"/>
        </w:rPr>
      </w:pPr>
      <w:r>
        <w:rPr>
          <w:rFonts w:eastAsia="SimSun" w:hint="eastAsia"/>
        </w:rPr>
        <w:t>Conclusion</w:t>
      </w:r>
    </w:p>
    <w:p w:rsidR="00136DE0" w:rsidRDefault="00A45420">
      <w:pPr>
        <w:snapToGrid w:val="0"/>
        <w:spacing w:before="120" w:after="120"/>
        <w:rPr>
          <w:szCs w:val="22"/>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 and proposals.</w:t>
      </w:r>
    </w:p>
    <w:p w:rsidR="004A0A7D" w:rsidRDefault="00E56021" w:rsidP="00CD529B">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E56021">
        <w:rPr>
          <w:sz w:val="21"/>
          <w:szCs w:val="22"/>
        </w:rPr>
        <w:fldChar w:fldCharType="begin"/>
      </w:r>
      <w:r w:rsidR="00A45420">
        <w:rPr>
          <w:sz w:val="21"/>
          <w:szCs w:val="22"/>
        </w:rPr>
        <w:instrText>TOC \n  \t "YJ-Observation,1" \h</w:instrText>
      </w:r>
      <w:r w:rsidRPr="00E56021">
        <w:rPr>
          <w:sz w:val="21"/>
          <w:szCs w:val="22"/>
        </w:rPr>
        <w:fldChar w:fldCharType="separate"/>
      </w:r>
      <w:hyperlink w:anchor="_Toc16858984" w:history="1">
        <w:r w:rsidR="004A0A7D" w:rsidRPr="00CD529B">
          <w:rPr>
            <w:rStyle w:val="Hyperlink"/>
            <w:rFonts w:eastAsia="SimSun"/>
            <w:noProof/>
          </w:rPr>
          <w:t>Observation 1:</w:t>
        </w:r>
        <w:r w:rsidR="004A0A7D">
          <w:rPr>
            <w:rFonts w:asciiTheme="minorHAnsi" w:hAnsiTheme="minorHAnsi" w:cstheme="minorBidi"/>
            <w:b w:val="0"/>
            <w:i w:val="0"/>
            <w:noProof/>
            <w:kern w:val="0"/>
            <w:sz w:val="22"/>
            <w:szCs w:val="22"/>
          </w:rPr>
          <w:tab/>
        </w:r>
        <w:r w:rsidR="004A0A7D" w:rsidRPr="00CD529B">
          <w:rPr>
            <w:rStyle w:val="Hyperlink"/>
            <w:noProof/>
          </w:rPr>
          <w:t xml:space="preserve">For </w:t>
        </w:r>
        <w:r w:rsidR="004A0A7D" w:rsidRPr="00CD529B">
          <w:rPr>
            <w:rStyle w:val="Hyperlink"/>
            <w:rFonts w:eastAsia="SimSun"/>
            <w:noProof/>
          </w:rPr>
          <w:t xml:space="preserve">groupcast with application layer session formation (e.g., platooning), the HARQ feedback control based on Tx-Rx distance </w:t>
        </w:r>
        <w:r w:rsidR="004A0A7D" w:rsidRPr="00CD529B">
          <w:rPr>
            <w:rStyle w:val="Hyperlink"/>
            <w:noProof/>
          </w:rPr>
          <w:t>is neither necessary nor intended</w:t>
        </w:r>
        <w:r w:rsidR="004A0A7D" w:rsidRPr="00CD529B">
          <w:rPr>
            <w:rStyle w:val="Hyperlink"/>
            <w:rFonts w:eastAsia="SimSun"/>
            <w:noProof/>
          </w:rPr>
          <w:t>.</w:t>
        </w:r>
      </w:hyperlink>
    </w:p>
    <w:p w:rsidR="00136DE0" w:rsidRDefault="00E56021">
      <w:pPr>
        <w:pStyle w:val="TOC1"/>
        <w:tabs>
          <w:tab w:val="right" w:pos="9660"/>
        </w:tabs>
        <w:spacing w:before="120" w:after="120"/>
      </w:pPr>
      <w:r>
        <w:rPr>
          <w:szCs w:val="22"/>
        </w:rPr>
        <w:fldChar w:fldCharType="end"/>
      </w:r>
    </w:p>
    <w:p w:rsidR="004A0A7D" w:rsidRDefault="00E56021"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r w:rsidRPr="00E56021">
        <w:fldChar w:fldCharType="begin"/>
      </w:r>
      <w:r w:rsidR="00A45420">
        <w:instrText>TOC \n  \t "YJ-Proposal,1,sub-proposal,2" \h</w:instrText>
      </w:r>
      <w:r w:rsidRPr="00E56021">
        <w:fldChar w:fldCharType="separate"/>
      </w:r>
      <w:hyperlink w:anchor="_Toc16859096" w:history="1">
        <w:r w:rsidR="004A0A7D" w:rsidRPr="00DB19B7">
          <w:rPr>
            <w:rStyle w:val="Hyperlink"/>
            <w:rFonts w:eastAsia="SimSun"/>
            <w:noProof/>
          </w:rPr>
          <w:t>Proposal 1:</w:t>
        </w:r>
        <w:r w:rsidR="004A0A7D">
          <w:rPr>
            <w:rFonts w:asciiTheme="minorHAnsi" w:hAnsiTheme="minorHAnsi" w:cstheme="minorBidi"/>
            <w:b w:val="0"/>
            <w:i w:val="0"/>
            <w:noProof/>
            <w:kern w:val="0"/>
            <w:sz w:val="22"/>
            <w:szCs w:val="22"/>
          </w:rPr>
          <w:tab/>
        </w:r>
        <w:r w:rsidR="004A0A7D" w:rsidRPr="00DB19B7">
          <w:rPr>
            <w:rStyle w:val="Hyperlink"/>
            <w:noProof/>
          </w:rPr>
          <w:t>The minimal time gap (K) between PSSCH and its associated PSFCH should be configurable. FFS whether K is configured per BWP or per resource pool.</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097" w:history="1">
        <w:r w:rsidRPr="00DB19B7">
          <w:rPr>
            <w:rStyle w:val="Hyperlink"/>
            <w:rFonts w:eastAsia="SimSun"/>
            <w:noProof/>
          </w:rPr>
          <w:t>Proposal 2:</w:t>
        </w:r>
        <w:r>
          <w:rPr>
            <w:rFonts w:asciiTheme="minorHAnsi" w:hAnsiTheme="minorHAnsi" w:cstheme="minorBidi"/>
            <w:b w:val="0"/>
            <w:i w:val="0"/>
            <w:noProof/>
            <w:kern w:val="0"/>
            <w:sz w:val="22"/>
            <w:szCs w:val="22"/>
          </w:rPr>
          <w:tab/>
        </w:r>
        <w:r w:rsidRPr="00DB19B7">
          <w:rPr>
            <w:rStyle w:val="Hyperlink"/>
            <w:rFonts w:eastAsia="SimSun"/>
            <w:noProof/>
          </w:rPr>
          <w:t>Consider subchannel-based PSSCH-to-PSFCH mapping method with the following principles:</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098"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The PSFCH</w:t>
        </w:r>
        <w:r w:rsidRPr="00DB19B7">
          <w:rPr>
            <w:rStyle w:val="Hyperlink"/>
            <w:rFonts w:eastAsia="SimSun"/>
            <w:noProof/>
          </w:rPr>
          <w:t xml:space="preserve"> containing HARQ feedback should be within the </w:t>
        </w:r>
        <w:r w:rsidRPr="00DB19B7">
          <w:rPr>
            <w:rStyle w:val="Hyperlink"/>
            <w:noProof/>
          </w:rPr>
          <w:t>subchannel(s)</w:t>
        </w:r>
        <w:r w:rsidRPr="00DB19B7">
          <w:rPr>
            <w:rStyle w:val="Hyperlink"/>
            <w:rFonts w:eastAsia="SimSun"/>
            <w:noProof/>
          </w:rPr>
          <w:t xml:space="preserve"> of its associated PSSCH</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099"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The PSFCH resources within a subchannel should be divided into subgroups based on the number of PSSCH slots whose corresponding PSFCHs map on these PSFCH resources.</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0"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Make a one-to-one mapping between the PSFCH subgroups and PSSCH subchannels on the slots whose PSFCHs maps on these PSFCH resources.</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01" w:history="1">
        <w:r w:rsidRPr="00DB19B7">
          <w:rPr>
            <w:rStyle w:val="Hyperlink"/>
            <w:rFonts w:eastAsia="SimSun"/>
            <w:noProof/>
          </w:rPr>
          <w:t>Proposal 3:</w:t>
        </w:r>
        <w:r>
          <w:rPr>
            <w:rFonts w:asciiTheme="minorHAnsi" w:hAnsiTheme="minorHAnsi" w:cstheme="minorBidi"/>
            <w:b w:val="0"/>
            <w:i w:val="0"/>
            <w:noProof/>
            <w:kern w:val="0"/>
            <w:sz w:val="22"/>
            <w:szCs w:val="22"/>
          </w:rPr>
          <w:tab/>
        </w:r>
        <w:r w:rsidRPr="00DB19B7">
          <w:rPr>
            <w:rStyle w:val="Hyperlink"/>
            <w:noProof/>
          </w:rPr>
          <w:t>Transmissions of multiple PSFCHs in a symbol could be supported with some restrictions (e.g., additional MPR) which depend on RAN4’s decision.</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02" w:history="1">
        <w:r w:rsidRPr="00DB19B7">
          <w:rPr>
            <w:rStyle w:val="Hyperlink"/>
            <w:rFonts w:eastAsia="SimSun"/>
            <w:noProof/>
          </w:rPr>
          <w:t>Proposal 4:</w:t>
        </w:r>
        <w:r>
          <w:rPr>
            <w:rFonts w:asciiTheme="minorHAnsi" w:hAnsiTheme="minorHAnsi" w:cstheme="minorBidi"/>
            <w:b w:val="0"/>
            <w:i w:val="0"/>
            <w:noProof/>
            <w:kern w:val="0"/>
            <w:sz w:val="22"/>
            <w:szCs w:val="22"/>
          </w:rPr>
          <w:tab/>
        </w:r>
        <w:r w:rsidRPr="00DB19B7">
          <w:rPr>
            <w:rStyle w:val="Hyperlink"/>
            <w:noProof/>
          </w:rPr>
          <w:t>For the solution of PSFCH Tx/Rx collision issue, down-select from the following</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3"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Leave to UE implementation</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4"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PSFCH reception always takes higher priority</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05" w:history="1">
        <w:r w:rsidRPr="00DB19B7">
          <w:rPr>
            <w:rStyle w:val="Hyperlink"/>
            <w:rFonts w:eastAsia="SimSun"/>
            <w:noProof/>
          </w:rPr>
          <w:t>Proposal 5:</w:t>
        </w:r>
        <w:r>
          <w:rPr>
            <w:rFonts w:asciiTheme="minorHAnsi" w:hAnsiTheme="minorHAnsi" w:cstheme="minorBidi"/>
            <w:b w:val="0"/>
            <w:i w:val="0"/>
            <w:noProof/>
            <w:kern w:val="0"/>
            <w:sz w:val="22"/>
            <w:szCs w:val="22"/>
          </w:rPr>
          <w:tab/>
        </w:r>
        <w:r w:rsidRPr="00DB19B7">
          <w:rPr>
            <w:rStyle w:val="Hyperlink"/>
            <w:noProof/>
          </w:rPr>
          <w:t>From RAN1 perspective, the following should be considered for group management supporting A/N feedback option 2.</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6"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As a groupcast receiver/responder, UE should know its own PSFCH resource ID to determine the PSFCH resources for A/N transmission</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7"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As a groupcast transmitter, UE should know all other in-group UEs occupied PSFCH resources to avoid DTX issue</w:t>
        </w:r>
      </w:hyperlink>
    </w:p>
    <w:p w:rsidR="004A0A7D" w:rsidRDefault="004A0A7D" w:rsidP="00DB19B7">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59108" w:history="1">
        <w:r w:rsidRPr="00DB19B7">
          <w:rPr>
            <w:rStyle w:val="Hyperlink"/>
            <w:rFonts w:ascii="Arial" w:eastAsia="SimSun" w:hAnsi="Arial" w:cs="Arial"/>
            <w:noProof/>
          </w:rPr>
          <w:t>•</w:t>
        </w:r>
        <w:r>
          <w:rPr>
            <w:rFonts w:asciiTheme="minorHAnsi" w:hAnsiTheme="minorHAnsi" w:cstheme="minorBidi"/>
            <w:b w:val="0"/>
            <w:i w:val="0"/>
            <w:noProof/>
            <w:kern w:val="0"/>
            <w:sz w:val="22"/>
            <w:szCs w:val="22"/>
          </w:rPr>
          <w:tab/>
        </w:r>
        <w:r w:rsidRPr="00DB19B7">
          <w:rPr>
            <w:rStyle w:val="Hyperlink"/>
            <w:noProof/>
          </w:rPr>
          <w:t>PSFCH resource ID update procedure is needed to account UE’s joining/leaving, and the DTX issue during the ID update procedure should be considered.</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09" w:history="1">
        <w:r w:rsidRPr="00DB19B7">
          <w:rPr>
            <w:rStyle w:val="Hyperlink"/>
            <w:rFonts w:eastAsia="SimSun"/>
            <w:noProof/>
          </w:rPr>
          <w:t>Proposal 6:</w:t>
        </w:r>
        <w:r>
          <w:rPr>
            <w:rFonts w:asciiTheme="minorHAnsi" w:hAnsiTheme="minorHAnsi" w:cstheme="minorBidi"/>
            <w:b w:val="0"/>
            <w:i w:val="0"/>
            <w:noProof/>
            <w:kern w:val="0"/>
            <w:sz w:val="22"/>
            <w:szCs w:val="22"/>
          </w:rPr>
          <w:tab/>
        </w:r>
        <w:r w:rsidRPr="00DB19B7">
          <w:rPr>
            <w:rStyle w:val="Hyperlink"/>
            <w:noProof/>
          </w:rPr>
          <w:t>For NACK-only feedback in groupcast, Rel-16 only supports the case where all the receiver UEs in the group share a PSFCH resource, with the same PSSCH/PSCCH-to-PSFCH mapping rule as for unicast.</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0" w:history="1">
        <w:r w:rsidRPr="00DB19B7">
          <w:rPr>
            <w:rStyle w:val="Hyperlink"/>
            <w:rFonts w:eastAsia="SimSun"/>
            <w:noProof/>
          </w:rPr>
          <w:t>Proposal 7:</w:t>
        </w:r>
        <w:r>
          <w:rPr>
            <w:rFonts w:asciiTheme="minorHAnsi" w:hAnsiTheme="minorHAnsi" w:cstheme="minorBidi"/>
            <w:b w:val="0"/>
            <w:i w:val="0"/>
            <w:noProof/>
            <w:kern w:val="0"/>
            <w:sz w:val="22"/>
            <w:szCs w:val="22"/>
          </w:rPr>
          <w:tab/>
        </w:r>
        <w:r w:rsidRPr="00DB19B7">
          <w:rPr>
            <w:rStyle w:val="Hyperlink"/>
            <w:rFonts w:eastAsia="SimSun"/>
            <w:noProof/>
          </w:rPr>
          <w:t xml:space="preserve">For groupcast A/N feedback option 2, it is not supported in Rel-16 that all or a subset of receiver UEs share a PSFCH for ACK transmission and another PSFCH for NACK </w:t>
        </w:r>
        <w:r w:rsidRPr="00DB19B7">
          <w:rPr>
            <w:rStyle w:val="Hyperlink"/>
            <w:noProof/>
          </w:rPr>
          <w:t>transmission</w:t>
        </w:r>
        <w:r w:rsidRPr="00DB19B7">
          <w:rPr>
            <w:rStyle w:val="Hyperlink"/>
            <w:rFonts w:eastAsia="SimSun"/>
            <w:noProof/>
          </w:rPr>
          <w:t>.</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1" w:history="1">
        <w:r w:rsidRPr="00DB19B7">
          <w:rPr>
            <w:rStyle w:val="Hyperlink"/>
            <w:rFonts w:eastAsia="SimSun"/>
            <w:noProof/>
          </w:rPr>
          <w:t>Proposal 8:</w:t>
        </w:r>
        <w:r>
          <w:rPr>
            <w:rFonts w:asciiTheme="minorHAnsi" w:hAnsiTheme="minorHAnsi" w:cstheme="minorBidi"/>
            <w:b w:val="0"/>
            <w:i w:val="0"/>
            <w:noProof/>
            <w:kern w:val="0"/>
            <w:sz w:val="22"/>
            <w:szCs w:val="22"/>
          </w:rPr>
          <w:tab/>
        </w:r>
        <w:r w:rsidRPr="00DB19B7">
          <w:rPr>
            <w:rStyle w:val="Hyperlink"/>
            <w:noProof/>
          </w:rPr>
          <w:t>If both feedback options are specified for groupcast, the mixture of two options for the group is not supported.</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2" w:history="1">
        <w:r w:rsidRPr="00DB19B7">
          <w:rPr>
            <w:rStyle w:val="Hyperlink"/>
            <w:rFonts w:eastAsia="SimSun"/>
            <w:noProof/>
          </w:rPr>
          <w:t>Proposal 9:</w:t>
        </w:r>
        <w:r>
          <w:rPr>
            <w:rFonts w:asciiTheme="minorHAnsi" w:hAnsiTheme="minorHAnsi" w:cstheme="minorBidi"/>
            <w:b w:val="0"/>
            <w:i w:val="0"/>
            <w:noProof/>
            <w:kern w:val="0"/>
            <w:sz w:val="22"/>
            <w:szCs w:val="22"/>
          </w:rPr>
          <w:tab/>
        </w:r>
        <w:r w:rsidRPr="00DB19B7">
          <w:rPr>
            <w:rStyle w:val="Hyperlink"/>
            <w:noProof/>
          </w:rPr>
          <w:t>The groupcast HARQ feedback control based on Tx-Rx distance is only applied to NACK-only HARQ feedback.</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3" w:history="1">
        <w:r w:rsidRPr="00DB19B7">
          <w:rPr>
            <w:rStyle w:val="Hyperlink"/>
            <w:rFonts w:eastAsia="SimSun"/>
            <w:noProof/>
          </w:rPr>
          <w:t>Proposal 10:</w:t>
        </w:r>
        <w:r>
          <w:rPr>
            <w:rFonts w:asciiTheme="minorHAnsi" w:hAnsiTheme="minorHAnsi" w:cstheme="minorBidi"/>
            <w:b w:val="0"/>
            <w:i w:val="0"/>
            <w:noProof/>
            <w:kern w:val="0"/>
            <w:sz w:val="22"/>
            <w:szCs w:val="22"/>
          </w:rPr>
          <w:tab/>
        </w:r>
        <w:r w:rsidRPr="00DB19B7">
          <w:rPr>
            <w:rStyle w:val="Hyperlink"/>
            <w:noProof/>
          </w:rPr>
          <w:t>TX UE’s location is implicit indicated by the L1 source ID in the SCI associated with the PSSCH.</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4" w:history="1">
        <w:r w:rsidRPr="00DB19B7">
          <w:rPr>
            <w:rStyle w:val="Hyperlink"/>
            <w:rFonts w:eastAsia="SimSun"/>
            <w:noProof/>
          </w:rPr>
          <w:t>Proposal 11:</w:t>
        </w:r>
        <w:r>
          <w:rPr>
            <w:rFonts w:asciiTheme="minorHAnsi" w:hAnsiTheme="minorHAnsi" w:cstheme="minorBidi"/>
            <w:b w:val="0"/>
            <w:i w:val="0"/>
            <w:noProof/>
            <w:kern w:val="0"/>
            <w:sz w:val="22"/>
            <w:szCs w:val="22"/>
          </w:rPr>
          <w:tab/>
        </w:r>
        <w:r w:rsidRPr="00DB19B7">
          <w:rPr>
            <w:rStyle w:val="Hyperlink"/>
            <w:noProof/>
          </w:rPr>
          <w:t>The used communication range requirement for a PSSCH is implicit indicated by the L1 destination group ID in the SCI associated with the PSSCH.</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5" w:history="1">
        <w:r w:rsidRPr="00DB19B7">
          <w:rPr>
            <w:rStyle w:val="Hyperlink"/>
            <w:rFonts w:eastAsia="SimSun"/>
            <w:noProof/>
          </w:rPr>
          <w:t>Proposal 12:</w:t>
        </w:r>
        <w:r>
          <w:rPr>
            <w:rFonts w:asciiTheme="minorHAnsi" w:hAnsiTheme="minorHAnsi" w:cstheme="minorBidi"/>
            <w:b w:val="0"/>
            <w:i w:val="0"/>
            <w:noProof/>
            <w:kern w:val="0"/>
            <w:sz w:val="22"/>
            <w:szCs w:val="22"/>
          </w:rPr>
          <w:tab/>
        </w:r>
        <w:r w:rsidRPr="00DB19B7">
          <w:rPr>
            <w:rStyle w:val="Hyperlink"/>
            <w:rFonts w:eastAsia="SimSun"/>
            <w:noProof/>
          </w:rPr>
          <w:t xml:space="preserve">Layer-1 destination ID and layer-1 source ID are derived from the upper layer destination ID and source ID, e.g., by taking the 8LSBs of upper layer ID’s. </w:t>
        </w:r>
        <w:r w:rsidRPr="00DB19B7">
          <w:rPr>
            <w:rStyle w:val="Hyperlink"/>
            <w:noProof/>
          </w:rPr>
          <w:t>U</w:t>
        </w:r>
        <w:r w:rsidRPr="00DB19B7">
          <w:rPr>
            <w:rStyle w:val="Hyperlink"/>
            <w:rFonts w:eastAsia="SimSun"/>
            <w:noProof/>
          </w:rPr>
          <w:t>pper layer ID updating mechanism as in LTE V2X is adopted to solve Layer-1 ID collision issue.</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6" w:history="1">
        <w:r w:rsidRPr="00DB19B7">
          <w:rPr>
            <w:rStyle w:val="Hyperlink"/>
            <w:rFonts w:eastAsia="SimSun"/>
            <w:noProof/>
          </w:rPr>
          <w:t>Proposal 13:</w:t>
        </w:r>
        <w:r>
          <w:rPr>
            <w:rFonts w:asciiTheme="minorHAnsi" w:hAnsiTheme="minorHAnsi" w:cstheme="minorBidi"/>
            <w:b w:val="0"/>
            <w:i w:val="0"/>
            <w:noProof/>
            <w:kern w:val="0"/>
            <w:sz w:val="22"/>
            <w:szCs w:val="22"/>
          </w:rPr>
          <w:tab/>
        </w:r>
        <w:r w:rsidRPr="00DB19B7">
          <w:rPr>
            <w:rStyle w:val="Hyperlink"/>
            <w:rFonts w:eastAsia="SimSun"/>
            <w:noProof/>
          </w:rPr>
          <w:t>L1 destination ID, HARQ process ID, RV, NDI and L1 source ID are always present in SCI for broadcast, groupcast and unicast.</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7" w:history="1">
        <w:r w:rsidRPr="00DB19B7">
          <w:rPr>
            <w:rStyle w:val="Hyperlink"/>
            <w:rFonts w:eastAsia="SimSun"/>
            <w:noProof/>
          </w:rPr>
          <w:t>Proposal 14:</w:t>
        </w:r>
        <w:r>
          <w:rPr>
            <w:rFonts w:asciiTheme="minorHAnsi" w:hAnsiTheme="minorHAnsi" w:cstheme="minorBidi"/>
            <w:b w:val="0"/>
            <w:i w:val="0"/>
            <w:noProof/>
            <w:kern w:val="0"/>
            <w:sz w:val="22"/>
            <w:szCs w:val="22"/>
          </w:rPr>
          <w:tab/>
        </w:r>
        <w:r w:rsidRPr="00DB19B7">
          <w:rPr>
            <w:rStyle w:val="Hyperlink"/>
            <w:rFonts w:eastAsia="SimSun"/>
            <w:noProof/>
          </w:rPr>
          <w:t>CBG based HARQ feedback is not supported in Rel-16 V2X.</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8" w:history="1">
        <w:r w:rsidRPr="00DB19B7">
          <w:rPr>
            <w:rStyle w:val="Hyperlink"/>
            <w:rFonts w:eastAsia="SimSun"/>
            <w:noProof/>
          </w:rPr>
          <w:t>Proposal 15:</w:t>
        </w:r>
        <w:r>
          <w:rPr>
            <w:rFonts w:asciiTheme="minorHAnsi" w:hAnsiTheme="minorHAnsi" w:cstheme="minorBidi"/>
            <w:b w:val="0"/>
            <w:i w:val="0"/>
            <w:noProof/>
            <w:kern w:val="0"/>
            <w:sz w:val="22"/>
            <w:szCs w:val="22"/>
          </w:rPr>
          <w:tab/>
        </w:r>
        <w:r w:rsidRPr="00DB19B7">
          <w:rPr>
            <w:rStyle w:val="Hyperlink"/>
            <w:rFonts w:eastAsia="SimSun"/>
            <w:noProof/>
          </w:rPr>
          <w:t>It is supported that the information of sidelink CSI-RS in associated PSSCH is indicated in SCI.</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19" w:history="1">
        <w:r w:rsidRPr="00DB19B7">
          <w:rPr>
            <w:rStyle w:val="Hyperlink"/>
            <w:rFonts w:eastAsia="SimSun"/>
            <w:noProof/>
          </w:rPr>
          <w:t>Proposal 16:</w:t>
        </w:r>
        <w:r>
          <w:rPr>
            <w:rFonts w:asciiTheme="minorHAnsi" w:hAnsiTheme="minorHAnsi" w:cstheme="minorBidi"/>
            <w:b w:val="0"/>
            <w:i w:val="0"/>
            <w:noProof/>
            <w:kern w:val="0"/>
            <w:sz w:val="22"/>
            <w:szCs w:val="22"/>
          </w:rPr>
          <w:tab/>
        </w:r>
        <w:r w:rsidRPr="00DB19B7">
          <w:rPr>
            <w:rStyle w:val="Hyperlink"/>
            <w:noProof/>
            <w:lang w:eastAsia="ko-KR"/>
          </w:rPr>
          <w:t>CQI/RI</w:t>
        </w:r>
        <w:r w:rsidRPr="00DB19B7">
          <w:rPr>
            <w:rStyle w:val="Hyperlink"/>
            <w:noProof/>
          </w:rPr>
          <w:t xml:space="preserve"> reporting is carried in MAC CE, and no information is needed in SCI to indicate the presence of </w:t>
        </w:r>
        <w:r w:rsidRPr="00DB19B7">
          <w:rPr>
            <w:rStyle w:val="Hyperlink"/>
            <w:noProof/>
            <w:lang w:eastAsia="ko-KR"/>
          </w:rPr>
          <w:t>CQI/RI</w:t>
        </w:r>
        <w:r w:rsidRPr="00DB19B7">
          <w:rPr>
            <w:rStyle w:val="Hyperlink"/>
            <w:noProof/>
          </w:rPr>
          <w:t xml:space="preserve"> reporting.</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20" w:history="1">
        <w:r w:rsidRPr="00DB19B7">
          <w:rPr>
            <w:rStyle w:val="Hyperlink"/>
            <w:rFonts w:eastAsia="SimSun"/>
            <w:noProof/>
          </w:rPr>
          <w:t>Proposal 17:</w:t>
        </w:r>
        <w:r>
          <w:rPr>
            <w:rFonts w:asciiTheme="minorHAnsi" w:hAnsiTheme="minorHAnsi" w:cstheme="minorBidi"/>
            <w:b w:val="0"/>
            <w:i w:val="0"/>
            <w:noProof/>
            <w:kern w:val="0"/>
            <w:sz w:val="22"/>
            <w:szCs w:val="22"/>
          </w:rPr>
          <w:tab/>
        </w:r>
        <w:r w:rsidRPr="00DB19B7">
          <w:rPr>
            <w:rStyle w:val="Hyperlink"/>
            <w:noProof/>
          </w:rPr>
          <w:t>For the signal used for RX UE RSRP measurement, its TX power is also indicated to the RX UE.</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21" w:history="1">
        <w:r w:rsidRPr="00DB19B7">
          <w:rPr>
            <w:rStyle w:val="Hyperlink"/>
            <w:rFonts w:eastAsia="SimSun"/>
            <w:noProof/>
          </w:rPr>
          <w:t>Proposal 18:</w:t>
        </w:r>
        <w:r>
          <w:rPr>
            <w:rFonts w:asciiTheme="minorHAnsi" w:hAnsiTheme="minorHAnsi" w:cstheme="minorBidi"/>
            <w:b w:val="0"/>
            <w:i w:val="0"/>
            <w:noProof/>
            <w:kern w:val="0"/>
            <w:sz w:val="22"/>
            <w:szCs w:val="22"/>
          </w:rPr>
          <w:tab/>
        </w:r>
        <w:r w:rsidRPr="00DB19B7">
          <w:rPr>
            <w:rStyle w:val="Hyperlink"/>
            <w:noProof/>
          </w:rPr>
          <w:t>For PSCCH and PSSCH multiplexing option 3, power boosting for PSCCH is not supported.</w:t>
        </w:r>
      </w:hyperlink>
    </w:p>
    <w:p w:rsidR="004A0A7D" w:rsidRDefault="004A0A7D" w:rsidP="00DB19B7">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59122" w:history="1">
        <w:r w:rsidRPr="00DB19B7">
          <w:rPr>
            <w:rStyle w:val="Hyperlink"/>
            <w:rFonts w:eastAsia="SimSun"/>
            <w:noProof/>
          </w:rPr>
          <w:t>Proposal 19:</w:t>
        </w:r>
        <w:r>
          <w:rPr>
            <w:rFonts w:asciiTheme="minorHAnsi" w:hAnsiTheme="minorHAnsi" w:cstheme="minorBidi"/>
            <w:b w:val="0"/>
            <w:i w:val="0"/>
            <w:noProof/>
            <w:kern w:val="0"/>
            <w:sz w:val="22"/>
            <w:szCs w:val="22"/>
          </w:rPr>
          <w:tab/>
        </w:r>
        <w:r w:rsidRPr="00DB19B7">
          <w:rPr>
            <w:rStyle w:val="Hyperlink"/>
            <w:rFonts w:eastAsia="SimSun"/>
            <w:noProof/>
          </w:rPr>
          <w:t>For open-loop power control of PSFCH, the rule defined for SL broadcast should be reused</w:t>
        </w:r>
        <w:r w:rsidRPr="00DB19B7">
          <w:rPr>
            <w:rStyle w:val="Hyperlink"/>
            <w:noProof/>
          </w:rPr>
          <w:t>.</w:t>
        </w:r>
      </w:hyperlink>
    </w:p>
    <w:p w:rsidR="00136DE0" w:rsidRDefault="00E56021">
      <w:pPr>
        <w:spacing w:before="120" w:after="120"/>
      </w:pPr>
      <w:r>
        <w:fldChar w:fldCharType="end"/>
      </w:r>
    </w:p>
    <w:p w:rsidR="00136DE0" w:rsidRDefault="00A45420">
      <w:pPr>
        <w:pStyle w:val="Heading1"/>
        <w:spacing w:before="120" w:after="120"/>
        <w:ind w:left="0"/>
        <w:rPr>
          <w:rFonts w:eastAsia="SimSun"/>
        </w:rPr>
      </w:pPr>
      <w:r>
        <w:rPr>
          <w:rFonts w:eastAsia="SimSun" w:hint="eastAsia"/>
        </w:rPr>
        <w:t>Reference</w:t>
      </w:r>
      <w:r>
        <w:rPr>
          <w:rFonts w:eastAsia="SimSun"/>
        </w:rPr>
        <w:t>s</w:t>
      </w:r>
    </w:p>
    <w:p w:rsidR="00136DE0" w:rsidRDefault="00A45420">
      <w:pPr>
        <w:widowControl w:val="0"/>
        <w:numPr>
          <w:ilvl w:val="0"/>
          <w:numId w:val="13"/>
        </w:numPr>
        <w:snapToGrid w:val="0"/>
        <w:spacing w:before="120" w:after="120"/>
        <w:rPr>
          <w:lang w:eastAsia="ja-JP"/>
        </w:rPr>
      </w:pPr>
      <w:bookmarkStart w:id="54" w:name="_Ref10683"/>
      <w:bookmarkStart w:id="55" w:name="_Ref17466"/>
      <w:r>
        <w:rPr>
          <w:sz w:val="20"/>
          <w:lang w:eastAsia="ja-JP"/>
        </w:rPr>
        <w:t xml:space="preserve">Chairman's Notes RAN1 </w:t>
      </w:r>
      <w:r>
        <w:rPr>
          <w:sz w:val="20"/>
        </w:rPr>
        <w:t>#9</w:t>
      </w:r>
      <w:r>
        <w:rPr>
          <w:rFonts w:hint="eastAsia"/>
          <w:sz w:val="20"/>
        </w:rPr>
        <w:t>7</w:t>
      </w:r>
      <w:r>
        <w:rPr>
          <w:sz w:val="20"/>
        </w:rPr>
        <w:t xml:space="preserve">, </w:t>
      </w:r>
      <w:r>
        <w:rPr>
          <w:rFonts w:hint="eastAsia"/>
          <w:sz w:val="20"/>
        </w:rPr>
        <w:t>May</w:t>
      </w:r>
      <w:r>
        <w:rPr>
          <w:sz w:val="20"/>
        </w:rPr>
        <w:t xml:space="preserve"> </w:t>
      </w:r>
      <w:r>
        <w:rPr>
          <w:rFonts w:hint="eastAsia"/>
          <w:sz w:val="20"/>
        </w:rPr>
        <w:t>13</w:t>
      </w:r>
      <w:r>
        <w:rPr>
          <w:sz w:val="20"/>
        </w:rPr>
        <w:t xml:space="preserve">th </w:t>
      </w:r>
      <w:r>
        <w:rPr>
          <w:sz w:val="20"/>
          <w:lang w:eastAsia="ja-JP"/>
        </w:rPr>
        <w:t>-</w:t>
      </w:r>
      <w:r>
        <w:rPr>
          <w:sz w:val="20"/>
        </w:rPr>
        <w:t>1</w:t>
      </w:r>
      <w:r>
        <w:rPr>
          <w:rFonts w:hint="eastAsia"/>
          <w:sz w:val="20"/>
        </w:rPr>
        <w:t>7</w:t>
      </w:r>
      <w:r>
        <w:rPr>
          <w:sz w:val="20"/>
          <w:lang w:eastAsia="ja-JP"/>
        </w:rPr>
        <w:t>th, 20</w:t>
      </w:r>
      <w:r>
        <w:rPr>
          <w:sz w:val="20"/>
        </w:rPr>
        <w:t>19</w:t>
      </w:r>
    </w:p>
    <w:bookmarkEnd w:id="54"/>
    <w:p w:rsidR="00136DE0" w:rsidRDefault="00A45420">
      <w:pPr>
        <w:widowControl w:val="0"/>
        <w:numPr>
          <w:ilvl w:val="0"/>
          <w:numId w:val="13"/>
        </w:numPr>
        <w:snapToGrid w:val="0"/>
        <w:spacing w:before="120" w:after="120"/>
        <w:rPr>
          <w:sz w:val="20"/>
        </w:rPr>
      </w:pPr>
      <w:r>
        <w:t>R1-1908894</w:t>
      </w:r>
      <w:r>
        <w:rPr>
          <w:rFonts w:hint="eastAsia"/>
        </w:rPr>
        <w:t xml:space="preserve">, </w:t>
      </w:r>
      <w:r>
        <w:t>NR sidelink physical layer structure</w:t>
      </w:r>
      <w:r>
        <w:rPr>
          <w:sz w:val="20"/>
        </w:rPr>
        <w:t xml:space="preserve">, </w:t>
      </w:r>
      <w:r>
        <w:rPr>
          <w:rFonts w:hint="eastAsia"/>
          <w:sz w:val="20"/>
        </w:rPr>
        <w:t>ZTE</w:t>
      </w:r>
      <w:r>
        <w:rPr>
          <w:sz w:val="20"/>
          <w:szCs w:val="22"/>
        </w:rPr>
        <w:t xml:space="preserve">, </w:t>
      </w:r>
      <w:r>
        <w:rPr>
          <w:rFonts w:hint="eastAsia"/>
          <w:sz w:val="20"/>
          <w:szCs w:val="22"/>
        </w:rPr>
        <w:t>Sanechips</w:t>
      </w:r>
      <w:r>
        <w:rPr>
          <w:sz w:val="20"/>
          <w:szCs w:val="22"/>
        </w:rPr>
        <w:t>.</w:t>
      </w:r>
      <w:bookmarkEnd w:id="55"/>
    </w:p>
    <w:p w:rsidR="00136DE0" w:rsidRDefault="00136DE0">
      <w:pPr>
        <w:spacing w:beforeLines="0" w:afterLines="0"/>
        <w:jc w:val="left"/>
      </w:pPr>
      <w:bookmarkStart w:id="56" w:name="_GoBack"/>
      <w:bookmarkEnd w:id="56"/>
    </w:p>
    <w:sectPr w:rsidR="00136DE0" w:rsidSect="00E56021">
      <w:headerReference w:type="even" r:id="rId37"/>
      <w:headerReference w:type="default" r:id="rId38"/>
      <w:footerReference w:type="even" r:id="rId39"/>
      <w:footerReference w:type="default" r:id="rId40"/>
      <w:headerReference w:type="first" r:id="rId41"/>
      <w:footerReference w:type="first" r:id="rId4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420" w:rsidRDefault="00A45420">
      <w:pPr>
        <w:spacing w:before="120" w:after="120" w:line="240" w:lineRule="auto"/>
      </w:pPr>
      <w:r>
        <w:separator/>
      </w:r>
    </w:p>
  </w:endnote>
  <w:endnote w:type="continuationSeparator" w:id="0">
    <w:p w:rsidR="00A45420" w:rsidRDefault="00A4542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E0" w:rsidRDefault="00136DE0">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3668604"/>
      <w:docPartObj>
        <w:docPartGallery w:val="AutoText"/>
      </w:docPartObj>
    </w:sdtPr>
    <w:sdtContent>
      <w:p w:rsidR="00136DE0" w:rsidRDefault="00E56021">
        <w:pPr>
          <w:pStyle w:val="Footer"/>
          <w:spacing w:before="120" w:after="120"/>
          <w:jc w:val="center"/>
        </w:pPr>
        <w:r>
          <w:fldChar w:fldCharType="begin"/>
        </w:r>
        <w:r w:rsidR="00A45420">
          <w:instrText xml:space="preserve"> PAGE   \* MERGEFORMAT </w:instrText>
        </w:r>
        <w:r>
          <w:fldChar w:fldCharType="separate"/>
        </w:r>
        <w:r w:rsidR="004A0A7D">
          <w:rPr>
            <w:noProof/>
          </w:rPr>
          <w:t>9</w:t>
        </w:r>
        <w:r>
          <w:fldChar w:fldCharType="end"/>
        </w:r>
      </w:p>
    </w:sdtContent>
  </w:sdt>
  <w:p w:rsidR="00136DE0" w:rsidRDefault="00136DE0">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E0" w:rsidRDefault="00136DE0">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420" w:rsidRDefault="00A45420">
      <w:pPr>
        <w:spacing w:before="120" w:after="120" w:line="240" w:lineRule="auto"/>
      </w:pPr>
      <w:r>
        <w:separator/>
      </w:r>
    </w:p>
  </w:footnote>
  <w:footnote w:type="continuationSeparator" w:id="0">
    <w:p w:rsidR="00A45420" w:rsidRDefault="00A4542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E0" w:rsidRDefault="00136DE0">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E0" w:rsidRDefault="00136DE0">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E0" w:rsidRDefault="00136DE0">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E159A3C5"/>
    <w:multiLevelType w:val="singleLevel"/>
    <w:tmpl w:val="E159A3C5"/>
    <w:lvl w:ilvl="0">
      <w:start w:val="1"/>
      <w:numFmt w:val="bullet"/>
      <w:lvlText w:val="•"/>
      <w:lvlJc w:val="left"/>
      <w:pPr>
        <w:ind w:left="420" w:hanging="42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0E964790"/>
    <w:multiLevelType w:val="multilevel"/>
    <w:tmpl w:val="0E96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8">
    <w:nsid w:val="33F62A94"/>
    <w:multiLevelType w:val="multilevel"/>
    <w:tmpl w:val="33F62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6CF25927"/>
    <w:multiLevelType w:val="multilevel"/>
    <w:tmpl w:val="6CF25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08D32AF"/>
    <w:multiLevelType w:val="multilevel"/>
    <w:tmpl w:val="708D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10"/>
  </w:num>
  <w:num w:numId="5">
    <w:abstractNumId w:val="0"/>
  </w:num>
  <w:num w:numId="6">
    <w:abstractNumId w:val="8"/>
  </w:num>
  <w:num w:numId="7">
    <w:abstractNumId w:val="6"/>
  </w:num>
  <w:num w:numId="8">
    <w:abstractNumId w:val="12"/>
  </w:num>
  <w:num w:numId="9">
    <w:abstractNumId w:val="3"/>
  </w:num>
  <w:num w:numId="10">
    <w:abstractNumId w:val="1"/>
  </w:num>
  <w:num w:numId="11">
    <w:abstractNumId w:val="11"/>
  </w:num>
  <w:num w:numId="12">
    <w:abstractNumId w:val="4"/>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24481"/>
    <w:rsid w:val="00136DE0"/>
    <w:rsid w:val="0014297B"/>
    <w:rsid w:val="00172A27"/>
    <w:rsid w:val="00284819"/>
    <w:rsid w:val="002F60C6"/>
    <w:rsid w:val="003A69A9"/>
    <w:rsid w:val="00415A01"/>
    <w:rsid w:val="00474D46"/>
    <w:rsid w:val="00491DB1"/>
    <w:rsid w:val="004A0A7D"/>
    <w:rsid w:val="004B7C15"/>
    <w:rsid w:val="00571C54"/>
    <w:rsid w:val="00624225"/>
    <w:rsid w:val="00735D0D"/>
    <w:rsid w:val="007E083E"/>
    <w:rsid w:val="008616A3"/>
    <w:rsid w:val="00892BB4"/>
    <w:rsid w:val="00954CEE"/>
    <w:rsid w:val="00A45420"/>
    <w:rsid w:val="00B56064"/>
    <w:rsid w:val="00C50EDF"/>
    <w:rsid w:val="00C5398B"/>
    <w:rsid w:val="00C83A72"/>
    <w:rsid w:val="00CA568B"/>
    <w:rsid w:val="00CC33D5"/>
    <w:rsid w:val="00CC6EF3"/>
    <w:rsid w:val="00D35BC4"/>
    <w:rsid w:val="00D67B5A"/>
    <w:rsid w:val="00DB5D94"/>
    <w:rsid w:val="00E56021"/>
    <w:rsid w:val="00EC62DB"/>
    <w:rsid w:val="00FA3D99"/>
    <w:rsid w:val="00FB7CA4"/>
    <w:rsid w:val="00FD5FC4"/>
    <w:rsid w:val="01764F01"/>
    <w:rsid w:val="01AE307F"/>
    <w:rsid w:val="024D6B6A"/>
    <w:rsid w:val="029B04E7"/>
    <w:rsid w:val="03073BDC"/>
    <w:rsid w:val="0555228E"/>
    <w:rsid w:val="05B92EC1"/>
    <w:rsid w:val="05E078B3"/>
    <w:rsid w:val="080C7FA0"/>
    <w:rsid w:val="09F67CD5"/>
    <w:rsid w:val="0B3E7DD7"/>
    <w:rsid w:val="0B9E71DF"/>
    <w:rsid w:val="0CD87ABE"/>
    <w:rsid w:val="0D6E2620"/>
    <w:rsid w:val="119D7849"/>
    <w:rsid w:val="12D85654"/>
    <w:rsid w:val="13332F77"/>
    <w:rsid w:val="1405674E"/>
    <w:rsid w:val="14DA3DA1"/>
    <w:rsid w:val="167A52A9"/>
    <w:rsid w:val="17481B81"/>
    <w:rsid w:val="176B45C6"/>
    <w:rsid w:val="17E84839"/>
    <w:rsid w:val="19001FFC"/>
    <w:rsid w:val="1A054259"/>
    <w:rsid w:val="1A8301C0"/>
    <w:rsid w:val="1B7F6005"/>
    <w:rsid w:val="1C053414"/>
    <w:rsid w:val="1C132CB9"/>
    <w:rsid w:val="1C7F54CE"/>
    <w:rsid w:val="1C973EEF"/>
    <w:rsid w:val="1CCC26CA"/>
    <w:rsid w:val="1E9D6342"/>
    <w:rsid w:val="1F4F2219"/>
    <w:rsid w:val="204E6676"/>
    <w:rsid w:val="2195668B"/>
    <w:rsid w:val="2463385E"/>
    <w:rsid w:val="25134332"/>
    <w:rsid w:val="26070462"/>
    <w:rsid w:val="260D2C45"/>
    <w:rsid w:val="27342901"/>
    <w:rsid w:val="27470B72"/>
    <w:rsid w:val="27AB7429"/>
    <w:rsid w:val="29FA7F26"/>
    <w:rsid w:val="2ABB3D6F"/>
    <w:rsid w:val="2DDD4F0A"/>
    <w:rsid w:val="2E34792A"/>
    <w:rsid w:val="2EEA6E65"/>
    <w:rsid w:val="2F0367CD"/>
    <w:rsid w:val="2F1251F2"/>
    <w:rsid w:val="2FA6492D"/>
    <w:rsid w:val="30962F3E"/>
    <w:rsid w:val="30FF2795"/>
    <w:rsid w:val="317206BF"/>
    <w:rsid w:val="32757E99"/>
    <w:rsid w:val="328F5534"/>
    <w:rsid w:val="329A6ACE"/>
    <w:rsid w:val="33737F51"/>
    <w:rsid w:val="358F6BDF"/>
    <w:rsid w:val="36121506"/>
    <w:rsid w:val="361F3323"/>
    <w:rsid w:val="36E93760"/>
    <w:rsid w:val="37173233"/>
    <w:rsid w:val="37602E60"/>
    <w:rsid w:val="3784394E"/>
    <w:rsid w:val="37D77B09"/>
    <w:rsid w:val="39F36281"/>
    <w:rsid w:val="3ACB5746"/>
    <w:rsid w:val="3BB20883"/>
    <w:rsid w:val="3E1D4B24"/>
    <w:rsid w:val="3E441C7D"/>
    <w:rsid w:val="3FC956FF"/>
    <w:rsid w:val="40EC7D18"/>
    <w:rsid w:val="41F466FD"/>
    <w:rsid w:val="42DE48A3"/>
    <w:rsid w:val="43874CD4"/>
    <w:rsid w:val="440D5045"/>
    <w:rsid w:val="443740AF"/>
    <w:rsid w:val="45275172"/>
    <w:rsid w:val="45332511"/>
    <w:rsid w:val="45412C46"/>
    <w:rsid w:val="45514AD5"/>
    <w:rsid w:val="455908C0"/>
    <w:rsid w:val="45A82F38"/>
    <w:rsid w:val="45BE6191"/>
    <w:rsid w:val="460C5979"/>
    <w:rsid w:val="46143B66"/>
    <w:rsid w:val="473069AF"/>
    <w:rsid w:val="47C01792"/>
    <w:rsid w:val="4808150F"/>
    <w:rsid w:val="48E50D90"/>
    <w:rsid w:val="4AC31003"/>
    <w:rsid w:val="4AE93159"/>
    <w:rsid w:val="4B830F9B"/>
    <w:rsid w:val="4BD0339A"/>
    <w:rsid w:val="4C923A72"/>
    <w:rsid w:val="4D462159"/>
    <w:rsid w:val="4DC605B6"/>
    <w:rsid w:val="4DEC0985"/>
    <w:rsid w:val="4E27683A"/>
    <w:rsid w:val="4F285975"/>
    <w:rsid w:val="5105169B"/>
    <w:rsid w:val="51867298"/>
    <w:rsid w:val="52E04D27"/>
    <w:rsid w:val="53DB3477"/>
    <w:rsid w:val="53E77CBF"/>
    <w:rsid w:val="54ED3D78"/>
    <w:rsid w:val="55DD6F2A"/>
    <w:rsid w:val="56106284"/>
    <w:rsid w:val="5632642A"/>
    <w:rsid w:val="56375B61"/>
    <w:rsid w:val="5705646B"/>
    <w:rsid w:val="57FC07D9"/>
    <w:rsid w:val="58500F22"/>
    <w:rsid w:val="594079B2"/>
    <w:rsid w:val="5987482A"/>
    <w:rsid w:val="5A3C0F08"/>
    <w:rsid w:val="5C6B1600"/>
    <w:rsid w:val="5CA6294E"/>
    <w:rsid w:val="5D5B7098"/>
    <w:rsid w:val="5D6E1B86"/>
    <w:rsid w:val="5DFD51DB"/>
    <w:rsid w:val="5F8F0B9E"/>
    <w:rsid w:val="607C3753"/>
    <w:rsid w:val="608D1D4E"/>
    <w:rsid w:val="60C30855"/>
    <w:rsid w:val="61421EFD"/>
    <w:rsid w:val="615C5041"/>
    <w:rsid w:val="64264A79"/>
    <w:rsid w:val="649B1AC2"/>
    <w:rsid w:val="664805B8"/>
    <w:rsid w:val="69280874"/>
    <w:rsid w:val="69850877"/>
    <w:rsid w:val="6A7B4B9C"/>
    <w:rsid w:val="6AD3247E"/>
    <w:rsid w:val="6B884219"/>
    <w:rsid w:val="6C89456C"/>
    <w:rsid w:val="6EEC3F7C"/>
    <w:rsid w:val="6FA629D4"/>
    <w:rsid w:val="709E3D85"/>
    <w:rsid w:val="70BB2EF0"/>
    <w:rsid w:val="720B2A1D"/>
    <w:rsid w:val="727C422C"/>
    <w:rsid w:val="73BE7067"/>
    <w:rsid w:val="748D52FA"/>
    <w:rsid w:val="75202656"/>
    <w:rsid w:val="75955DA9"/>
    <w:rsid w:val="76EC51FD"/>
    <w:rsid w:val="77A00E75"/>
    <w:rsid w:val="78497C2E"/>
    <w:rsid w:val="78782A0D"/>
    <w:rsid w:val="79D33056"/>
    <w:rsid w:val="79EC0256"/>
    <w:rsid w:val="7A851D5D"/>
    <w:rsid w:val="7C26369C"/>
    <w:rsid w:val="7C9E5A24"/>
    <w:rsid w:val="7CF565D7"/>
    <w:rsid w:val="7D0F5720"/>
    <w:rsid w:val="7D62117D"/>
    <w:rsid w:val="7E3E1EF2"/>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56021"/>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rsid w:val="00E56021"/>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E56021"/>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E56021"/>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56021"/>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E56021"/>
    <w:rPr>
      <w:rFonts w:ascii="SimSun"/>
      <w:sz w:val="18"/>
      <w:szCs w:val="18"/>
    </w:rPr>
  </w:style>
  <w:style w:type="paragraph" w:styleId="CommentText">
    <w:name w:val="annotation text"/>
    <w:basedOn w:val="Normal"/>
    <w:link w:val="CommentTextChar"/>
    <w:uiPriority w:val="99"/>
    <w:semiHidden/>
    <w:unhideWhenUsed/>
    <w:qFormat/>
    <w:rsid w:val="00E56021"/>
    <w:pPr>
      <w:jc w:val="left"/>
    </w:pPr>
  </w:style>
  <w:style w:type="paragraph" w:styleId="BalloonText">
    <w:name w:val="Balloon Text"/>
    <w:basedOn w:val="Normal"/>
    <w:link w:val="BalloonTextChar"/>
    <w:uiPriority w:val="99"/>
    <w:semiHidden/>
    <w:unhideWhenUsed/>
    <w:qFormat/>
    <w:rsid w:val="00E56021"/>
    <w:pPr>
      <w:spacing w:line="240" w:lineRule="auto"/>
    </w:pPr>
    <w:rPr>
      <w:sz w:val="18"/>
      <w:szCs w:val="18"/>
    </w:rPr>
  </w:style>
  <w:style w:type="paragraph" w:styleId="Footer">
    <w:name w:val="footer"/>
    <w:basedOn w:val="Normal"/>
    <w:link w:val="FooterChar"/>
    <w:uiPriority w:val="99"/>
    <w:unhideWhenUsed/>
    <w:qFormat/>
    <w:rsid w:val="00E56021"/>
    <w:pPr>
      <w:tabs>
        <w:tab w:val="center" w:pos="4153"/>
        <w:tab w:val="right" w:pos="8306"/>
      </w:tabs>
      <w:snapToGrid w:val="0"/>
      <w:jc w:val="left"/>
    </w:pPr>
    <w:rPr>
      <w:sz w:val="18"/>
      <w:szCs w:val="18"/>
    </w:rPr>
  </w:style>
  <w:style w:type="paragraph" w:styleId="Header">
    <w:name w:val="header"/>
    <w:basedOn w:val="Normal"/>
    <w:link w:val="HeaderChar"/>
    <w:semiHidden/>
    <w:qFormat/>
    <w:rsid w:val="00E56021"/>
    <w:pPr>
      <w:tabs>
        <w:tab w:val="center" w:pos="4680"/>
        <w:tab w:val="right" w:pos="9360"/>
      </w:tabs>
      <w:spacing w:line="240" w:lineRule="auto"/>
    </w:pPr>
  </w:style>
  <w:style w:type="paragraph" w:styleId="TOC1">
    <w:name w:val="toc 1"/>
    <w:basedOn w:val="Normal"/>
    <w:next w:val="Normal"/>
    <w:uiPriority w:val="39"/>
    <w:unhideWhenUsed/>
    <w:qFormat/>
    <w:rsid w:val="00E56021"/>
    <w:rPr>
      <w:rFonts w:eastAsiaTheme="minorEastAsia"/>
      <w:b/>
      <w:i/>
      <w:sz w:val="20"/>
    </w:rPr>
  </w:style>
  <w:style w:type="paragraph" w:styleId="TableofFigures">
    <w:name w:val="table of figures"/>
    <w:basedOn w:val="Normal"/>
    <w:next w:val="Normal"/>
    <w:uiPriority w:val="99"/>
    <w:semiHidden/>
    <w:unhideWhenUsed/>
    <w:qFormat/>
    <w:rsid w:val="00E56021"/>
    <w:pPr>
      <w:ind w:leftChars="200" w:left="200" w:hangingChars="200" w:hanging="200"/>
    </w:pPr>
  </w:style>
  <w:style w:type="paragraph" w:styleId="TOC2">
    <w:name w:val="toc 2"/>
    <w:basedOn w:val="Normal"/>
    <w:next w:val="Normal"/>
    <w:uiPriority w:val="99"/>
    <w:semiHidden/>
    <w:unhideWhenUsed/>
    <w:qFormat/>
    <w:rsid w:val="00E56021"/>
    <w:pPr>
      <w:ind w:leftChars="200" w:left="420"/>
    </w:pPr>
    <w:rPr>
      <w:b/>
      <w:i/>
      <w:sz w:val="20"/>
    </w:rPr>
  </w:style>
  <w:style w:type="paragraph" w:styleId="CommentSubject">
    <w:name w:val="annotation subject"/>
    <w:basedOn w:val="CommentText"/>
    <w:next w:val="CommentText"/>
    <w:link w:val="CommentSubjectChar"/>
    <w:uiPriority w:val="99"/>
    <w:semiHidden/>
    <w:unhideWhenUsed/>
    <w:qFormat/>
    <w:rsid w:val="00E56021"/>
    <w:rPr>
      <w:b/>
      <w:bCs/>
    </w:rPr>
  </w:style>
  <w:style w:type="table" w:styleId="TableGrid">
    <w:name w:val="Table Grid"/>
    <w:basedOn w:val="TableNormal"/>
    <w:qFormat/>
    <w:rsid w:val="00E5602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E56021"/>
    <w:rPr>
      <w:color w:val="0000FF"/>
      <w:u w:val="single"/>
    </w:rPr>
  </w:style>
  <w:style w:type="character" w:styleId="CommentReference">
    <w:name w:val="annotation reference"/>
    <w:basedOn w:val="DefaultParagraphFont"/>
    <w:uiPriority w:val="99"/>
    <w:semiHidden/>
    <w:unhideWhenUsed/>
    <w:qFormat/>
    <w:rsid w:val="00E56021"/>
    <w:rPr>
      <w:sz w:val="16"/>
      <w:szCs w:val="16"/>
    </w:rPr>
  </w:style>
  <w:style w:type="paragraph" w:customStyle="1" w:styleId="YJ-Proposal">
    <w:name w:val="YJ-Proposal"/>
    <w:basedOn w:val="Normal"/>
    <w:qFormat/>
    <w:rsid w:val="00E56021"/>
    <w:pPr>
      <w:numPr>
        <w:numId w:val="2"/>
      </w:numPr>
    </w:pPr>
    <w:rPr>
      <w:rFonts w:eastAsiaTheme="minorEastAsia"/>
      <w:b/>
      <w:bCs/>
      <w:i/>
      <w:iCs/>
      <w:sz w:val="20"/>
      <w:lang w:val="en-GB" w:eastAsia="en-US"/>
    </w:rPr>
  </w:style>
  <w:style w:type="paragraph" w:customStyle="1" w:styleId="YJ-Observation">
    <w:name w:val="YJ-Observation"/>
    <w:basedOn w:val="YJ-Proposal"/>
    <w:qFormat/>
    <w:rsid w:val="00E56021"/>
    <w:pPr>
      <w:numPr>
        <w:numId w:val="3"/>
      </w:numPr>
      <w:tabs>
        <w:tab w:val="left" w:pos="420"/>
      </w:tabs>
    </w:pPr>
  </w:style>
  <w:style w:type="paragraph" w:customStyle="1" w:styleId="References">
    <w:name w:val="References"/>
    <w:basedOn w:val="Normal"/>
    <w:qFormat/>
    <w:rsid w:val="00E56021"/>
    <w:pPr>
      <w:numPr>
        <w:numId w:val="4"/>
      </w:numPr>
      <w:spacing w:after="60"/>
    </w:pPr>
    <w:rPr>
      <w:szCs w:val="16"/>
    </w:rPr>
  </w:style>
  <w:style w:type="paragraph" w:styleId="ListParagraph">
    <w:name w:val="List Paragraph"/>
    <w:basedOn w:val="Normal"/>
    <w:uiPriority w:val="34"/>
    <w:qFormat/>
    <w:rsid w:val="00E56021"/>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rsid w:val="00E56021"/>
    <w:pPr>
      <w:numPr>
        <w:numId w:val="5"/>
      </w:numPr>
    </w:pPr>
  </w:style>
  <w:style w:type="paragraph" w:customStyle="1" w:styleId="1">
    <w:name w:val="样式1"/>
    <w:basedOn w:val="Normal"/>
    <w:qFormat/>
    <w:rsid w:val="00E56021"/>
  </w:style>
  <w:style w:type="paragraph" w:customStyle="1" w:styleId="LGTdoc">
    <w:name w:val="LGTdoc_본문"/>
    <w:basedOn w:val="Normal"/>
    <w:qFormat/>
    <w:rsid w:val="00E56021"/>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sid w:val="00E56021"/>
    <w:rPr>
      <w:rFonts w:eastAsia="SimSun"/>
      <w:kern w:val="2"/>
      <w:sz w:val="21"/>
    </w:rPr>
  </w:style>
  <w:style w:type="character" w:customStyle="1" w:styleId="FooterChar">
    <w:name w:val="Footer Char"/>
    <w:basedOn w:val="DefaultParagraphFont"/>
    <w:link w:val="Footer"/>
    <w:uiPriority w:val="99"/>
    <w:qFormat/>
    <w:rsid w:val="00E56021"/>
    <w:rPr>
      <w:rFonts w:eastAsia="SimSun"/>
      <w:kern w:val="2"/>
      <w:sz w:val="18"/>
      <w:szCs w:val="18"/>
    </w:rPr>
  </w:style>
  <w:style w:type="paragraph" w:customStyle="1" w:styleId="YJ--">
    <w:name w:val="YJ--正文"/>
    <w:basedOn w:val="Normal"/>
    <w:qFormat/>
    <w:rsid w:val="00E56021"/>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sid w:val="00E56021"/>
    <w:rPr>
      <w:kern w:val="2"/>
      <w:sz w:val="18"/>
      <w:szCs w:val="18"/>
    </w:rPr>
  </w:style>
  <w:style w:type="character" w:customStyle="1" w:styleId="DocumentMapChar">
    <w:name w:val="Document Map Char"/>
    <w:basedOn w:val="DefaultParagraphFont"/>
    <w:link w:val="DocumentMap"/>
    <w:uiPriority w:val="99"/>
    <w:semiHidden/>
    <w:qFormat/>
    <w:rsid w:val="00E56021"/>
    <w:rPr>
      <w:rFonts w:ascii="SimSun"/>
      <w:kern w:val="2"/>
      <w:sz w:val="18"/>
      <w:szCs w:val="18"/>
    </w:rPr>
  </w:style>
  <w:style w:type="character" w:customStyle="1" w:styleId="CommentTextChar">
    <w:name w:val="Comment Text Char"/>
    <w:basedOn w:val="DefaultParagraphFont"/>
    <w:link w:val="CommentText"/>
    <w:uiPriority w:val="99"/>
    <w:semiHidden/>
    <w:qFormat/>
    <w:rsid w:val="00E56021"/>
    <w:rPr>
      <w:kern w:val="2"/>
      <w:sz w:val="21"/>
    </w:rPr>
  </w:style>
  <w:style w:type="character" w:customStyle="1" w:styleId="CommentSubjectChar">
    <w:name w:val="Comment Subject Char"/>
    <w:basedOn w:val="CommentTextChar"/>
    <w:link w:val="CommentSubject"/>
    <w:qFormat/>
    <w:rsid w:val="00E56021"/>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hyperlink" Target="file:///C:\Users\Workman\AppData\Roaming\Microsoft\Word\Docs\R1-1907908.zip" TargetMode="External"/><Relationship Id="rId19" Type="http://schemas.openxmlformats.org/officeDocument/2006/relationships/oleObject" Target="embeddings/oleObject5.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Workman\AppData\Roaming\Microsoft\Word\Docs\R1-1907823.zip"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emf"/><Relationship Id="rId43"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5FF36-AEC9-4985-8C5B-9C264864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4595</Words>
  <Characters>24049</Characters>
  <Application>Microsoft Office Word</Application>
  <DocSecurity>0</DocSecurity>
  <Lines>200</Lines>
  <Paragraphs>57</Paragraphs>
  <ScaleCrop>false</ScaleCrop>
  <Company>Microsoft</Company>
  <LinksUpToDate>false</LinksUpToDate>
  <CharactersWithSpaces>28587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cp:revision>
  <dcterms:created xsi:type="dcterms:W3CDTF">2019-04-08T03:09:00Z</dcterms:created>
  <dcterms:modified xsi:type="dcterms:W3CDTF">2019-08-16T19:44:00Z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